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61" w:rsidRPr="002D1F09" w:rsidRDefault="002D1F09" w:rsidP="00982EED">
      <w:pPr>
        <w:spacing w:after="0"/>
        <w:jc w:val="center"/>
        <w:rPr>
          <w:rFonts w:ascii="Arial" w:hAnsi="Arial" w:cs="Arial"/>
          <w:b/>
          <w:sz w:val="28"/>
          <w:szCs w:val="20"/>
          <w:lang w:val="en-US"/>
        </w:rPr>
      </w:pPr>
      <w:r w:rsidRPr="002D1F09">
        <w:rPr>
          <w:rFonts w:ascii="Arial" w:hAnsi="Arial" w:cs="Arial"/>
          <w:b/>
          <w:sz w:val="28"/>
          <w:szCs w:val="20"/>
          <w:lang w:val="en-US"/>
        </w:rPr>
        <w:t>Response to feedback received</w:t>
      </w:r>
    </w:p>
    <w:p w:rsidR="002D1F09" w:rsidRPr="00CE5509" w:rsidRDefault="002D1F09" w:rsidP="00982EED">
      <w:pPr>
        <w:spacing w:after="0"/>
        <w:jc w:val="center"/>
        <w:rPr>
          <w:rFonts w:ascii="Arial" w:hAnsi="Arial" w:cs="Arial"/>
          <w:b/>
          <w:sz w:val="16"/>
          <w:szCs w:val="20"/>
          <w:lang w:val="en-US"/>
        </w:rPr>
      </w:pPr>
    </w:p>
    <w:p w:rsidR="00CE5509" w:rsidRPr="00663955" w:rsidRDefault="00CE5509" w:rsidP="00982EED">
      <w:pPr>
        <w:spacing w:after="0"/>
        <w:jc w:val="center"/>
        <w:rPr>
          <w:rFonts w:ascii="Arial" w:hAnsi="Arial" w:cs="Arial"/>
          <w:b/>
          <w:i/>
          <w:sz w:val="28"/>
          <w:szCs w:val="20"/>
          <w:lang w:val="en-US"/>
        </w:rPr>
      </w:pPr>
      <w:r w:rsidRPr="00663955">
        <w:rPr>
          <w:rFonts w:ascii="Arial" w:hAnsi="Arial" w:cs="Arial"/>
          <w:b/>
          <w:i/>
          <w:sz w:val="28"/>
          <w:szCs w:val="20"/>
          <w:lang w:val="en-US"/>
        </w:rPr>
        <w:t>Code of Conduct</w:t>
      </w:r>
    </w:p>
    <w:p w:rsidR="00CE5509" w:rsidRPr="00663955" w:rsidRDefault="00CE5509" w:rsidP="00982EED">
      <w:pPr>
        <w:spacing w:after="0"/>
        <w:jc w:val="center"/>
        <w:rPr>
          <w:rFonts w:ascii="Arial" w:hAnsi="Arial" w:cs="Arial"/>
          <w:b/>
          <w:i/>
          <w:sz w:val="28"/>
          <w:szCs w:val="20"/>
          <w:lang w:val="en-US"/>
        </w:rPr>
      </w:pPr>
      <w:r w:rsidRPr="00663955">
        <w:rPr>
          <w:rFonts w:ascii="Arial" w:hAnsi="Arial" w:cs="Arial"/>
          <w:b/>
          <w:i/>
          <w:sz w:val="28"/>
          <w:szCs w:val="20"/>
          <w:lang w:val="en-US"/>
        </w:rPr>
        <w:t>For Malaysia Wholesale Financial Markets</w:t>
      </w:r>
    </w:p>
    <w:p w:rsidR="00CE5509" w:rsidRPr="00663955" w:rsidRDefault="00CE5509" w:rsidP="00982EED">
      <w:pPr>
        <w:spacing w:after="0"/>
        <w:jc w:val="center"/>
        <w:rPr>
          <w:rFonts w:ascii="Arial" w:hAnsi="Arial" w:cs="Arial"/>
          <w:b/>
          <w:i/>
          <w:sz w:val="24"/>
          <w:szCs w:val="20"/>
          <w:lang w:val="en-US"/>
        </w:rPr>
      </w:pPr>
    </w:p>
    <w:p w:rsidR="00CE5509" w:rsidRPr="00663955" w:rsidRDefault="00CE5509" w:rsidP="00EB2D0C">
      <w:pPr>
        <w:spacing w:after="0"/>
        <w:rPr>
          <w:rFonts w:ascii="Arial" w:hAnsi="Arial" w:cs="Arial"/>
          <w:b/>
          <w:i/>
          <w:sz w:val="24"/>
          <w:szCs w:val="20"/>
          <w:lang w:val="en-US"/>
        </w:rPr>
      </w:pPr>
    </w:p>
    <w:p w:rsidR="00CE5509" w:rsidRPr="00663955" w:rsidRDefault="00CE5509" w:rsidP="00CE5509">
      <w:pPr>
        <w:spacing w:after="0" w:line="360" w:lineRule="auto"/>
        <w:rPr>
          <w:rFonts w:ascii="Arial" w:hAnsi="Arial" w:cs="Arial"/>
          <w:b/>
          <w:sz w:val="28"/>
          <w:szCs w:val="20"/>
          <w:lang w:val="en-US"/>
        </w:rPr>
      </w:pPr>
      <w:r w:rsidRPr="00663955">
        <w:rPr>
          <w:rFonts w:ascii="Arial" w:hAnsi="Arial" w:cs="Arial"/>
          <w:b/>
          <w:sz w:val="28"/>
          <w:szCs w:val="20"/>
          <w:lang w:val="en-US"/>
        </w:rPr>
        <w:t>Introduction</w:t>
      </w:r>
    </w:p>
    <w:p w:rsidR="004C527B" w:rsidRPr="00663955" w:rsidRDefault="004C527B" w:rsidP="004C527B">
      <w:pPr>
        <w:pStyle w:val="Default"/>
        <w:spacing w:line="360" w:lineRule="auto"/>
        <w:jc w:val="both"/>
        <w:rPr>
          <w:szCs w:val="20"/>
        </w:rPr>
      </w:pPr>
      <w:r w:rsidRPr="00663955">
        <w:rPr>
          <w:szCs w:val="20"/>
        </w:rPr>
        <w:t xml:space="preserve">The Bank today </w:t>
      </w:r>
      <w:r w:rsidR="002E2F38" w:rsidRPr="00663955">
        <w:rPr>
          <w:szCs w:val="20"/>
        </w:rPr>
        <w:t>publishes</w:t>
      </w:r>
      <w:r w:rsidRPr="00663955">
        <w:rPr>
          <w:szCs w:val="20"/>
        </w:rPr>
        <w:t xml:space="preserve"> the</w:t>
      </w:r>
      <w:r w:rsidR="002E2F38" w:rsidRPr="00663955">
        <w:rPr>
          <w:szCs w:val="20"/>
        </w:rPr>
        <w:t xml:space="preserve"> final</w:t>
      </w:r>
      <w:r w:rsidRPr="00663955">
        <w:rPr>
          <w:szCs w:val="20"/>
        </w:rPr>
        <w:t xml:space="preserve"> policy document on </w:t>
      </w:r>
      <w:r w:rsidRPr="00663955">
        <w:rPr>
          <w:i/>
          <w:iCs/>
          <w:szCs w:val="20"/>
        </w:rPr>
        <w:t xml:space="preserve">Code of Conduct for Malaysia Wholesale Financial Markets </w:t>
      </w:r>
      <w:r w:rsidRPr="00663955">
        <w:rPr>
          <w:szCs w:val="20"/>
        </w:rPr>
        <w:t>(PD)</w:t>
      </w:r>
      <w:r w:rsidR="002E2F38" w:rsidRPr="00663955">
        <w:rPr>
          <w:szCs w:val="20"/>
        </w:rPr>
        <w:t xml:space="preserve"> which sets out</w:t>
      </w:r>
      <w:r w:rsidRPr="00663955">
        <w:rPr>
          <w:szCs w:val="20"/>
        </w:rPr>
        <w:t xml:space="preserve"> the policy requirements</w:t>
      </w:r>
      <w:r w:rsidR="002E2F38" w:rsidRPr="00663955">
        <w:rPr>
          <w:szCs w:val="20"/>
        </w:rPr>
        <w:t xml:space="preserve"> as</w:t>
      </w:r>
      <w:r w:rsidRPr="00663955">
        <w:rPr>
          <w:szCs w:val="20"/>
        </w:rPr>
        <w:t xml:space="preserve"> stipulated in the exposure draft that was issued on 31 October 2016, and </w:t>
      </w:r>
      <w:r w:rsidR="002E2F38" w:rsidRPr="00663955">
        <w:rPr>
          <w:szCs w:val="20"/>
        </w:rPr>
        <w:t xml:space="preserve">amendments to the </w:t>
      </w:r>
      <w:r w:rsidR="00D62584" w:rsidRPr="00663955">
        <w:rPr>
          <w:szCs w:val="20"/>
        </w:rPr>
        <w:t>exposure draft</w:t>
      </w:r>
      <w:r w:rsidR="002E2F38" w:rsidRPr="00663955">
        <w:rPr>
          <w:szCs w:val="20"/>
        </w:rPr>
        <w:t xml:space="preserve"> where appropriate, including to add further clarity after </w:t>
      </w:r>
      <w:r w:rsidRPr="00663955">
        <w:rPr>
          <w:szCs w:val="20"/>
        </w:rPr>
        <w:t xml:space="preserve">taking into account </w:t>
      </w:r>
      <w:r w:rsidR="002E2F38" w:rsidRPr="00663955">
        <w:rPr>
          <w:szCs w:val="20"/>
        </w:rPr>
        <w:t xml:space="preserve">responses </w:t>
      </w:r>
      <w:r w:rsidRPr="00663955">
        <w:rPr>
          <w:szCs w:val="20"/>
        </w:rPr>
        <w:t>received during the consultation period.</w:t>
      </w:r>
    </w:p>
    <w:p w:rsidR="00CE5509" w:rsidRPr="00663955" w:rsidRDefault="00CE5509" w:rsidP="00CE5509">
      <w:pPr>
        <w:pStyle w:val="Default"/>
        <w:spacing w:line="360" w:lineRule="auto"/>
        <w:jc w:val="both"/>
        <w:rPr>
          <w:szCs w:val="20"/>
        </w:rPr>
      </w:pPr>
    </w:p>
    <w:p w:rsidR="00CE5509" w:rsidRPr="00663955" w:rsidRDefault="00CE5509" w:rsidP="00CE5509">
      <w:pPr>
        <w:pStyle w:val="Default"/>
        <w:spacing w:line="360" w:lineRule="auto"/>
        <w:jc w:val="both"/>
        <w:rPr>
          <w:szCs w:val="20"/>
        </w:rPr>
      </w:pPr>
      <w:r w:rsidRPr="00663955">
        <w:rPr>
          <w:szCs w:val="20"/>
        </w:rPr>
        <w:t xml:space="preserve">The Bank received written responses from </w:t>
      </w:r>
      <w:r w:rsidR="008C440F" w:rsidRPr="00663955">
        <w:rPr>
          <w:szCs w:val="20"/>
        </w:rPr>
        <w:t>commercial banks, Islamic banks, investment banks</w:t>
      </w:r>
      <w:r w:rsidRPr="00663955">
        <w:rPr>
          <w:szCs w:val="20"/>
        </w:rPr>
        <w:t xml:space="preserve">, </w:t>
      </w:r>
      <w:r w:rsidR="00886D57" w:rsidRPr="00663955">
        <w:rPr>
          <w:szCs w:val="20"/>
        </w:rPr>
        <w:t xml:space="preserve">insurance </w:t>
      </w:r>
      <w:r w:rsidR="00AC28BB" w:rsidRPr="00663955">
        <w:rPr>
          <w:szCs w:val="20"/>
        </w:rPr>
        <w:t xml:space="preserve">companies </w:t>
      </w:r>
      <w:r w:rsidR="00886D57" w:rsidRPr="00663955">
        <w:rPr>
          <w:szCs w:val="20"/>
        </w:rPr>
        <w:t xml:space="preserve">and </w:t>
      </w:r>
      <w:proofErr w:type="spellStart"/>
      <w:r w:rsidR="00886D57" w:rsidRPr="00663955">
        <w:rPr>
          <w:szCs w:val="20"/>
        </w:rPr>
        <w:t>takaful</w:t>
      </w:r>
      <w:proofErr w:type="spellEnd"/>
      <w:r w:rsidR="00886D57" w:rsidRPr="00663955">
        <w:rPr>
          <w:szCs w:val="20"/>
        </w:rPr>
        <w:t xml:space="preserve"> operators, development financial institutions, </w:t>
      </w:r>
      <w:r w:rsidRPr="00663955">
        <w:rPr>
          <w:szCs w:val="20"/>
        </w:rPr>
        <w:t xml:space="preserve">industry associations and </w:t>
      </w:r>
      <w:r w:rsidR="00F602C7">
        <w:rPr>
          <w:szCs w:val="20"/>
        </w:rPr>
        <w:t xml:space="preserve">other authorities </w:t>
      </w:r>
      <w:r w:rsidRPr="00663955">
        <w:rPr>
          <w:szCs w:val="20"/>
        </w:rPr>
        <w:t xml:space="preserve">during the consultation period. </w:t>
      </w:r>
    </w:p>
    <w:p w:rsidR="00CE5509" w:rsidRPr="00663955" w:rsidRDefault="00CE5509" w:rsidP="00CE5509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CE5509" w:rsidRPr="00663955" w:rsidRDefault="00CE5509" w:rsidP="00CE5509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The Bank appreciates the </w:t>
      </w:r>
      <w:r w:rsidR="0096431F" w:rsidRPr="00663955">
        <w:rPr>
          <w:rFonts w:ascii="Arial" w:hAnsi="Arial" w:cs="Arial"/>
          <w:sz w:val="24"/>
          <w:szCs w:val="20"/>
        </w:rPr>
        <w:t>responses</w:t>
      </w:r>
      <w:r w:rsidRPr="00663955">
        <w:rPr>
          <w:rFonts w:ascii="Arial" w:hAnsi="Arial" w:cs="Arial"/>
          <w:sz w:val="24"/>
          <w:szCs w:val="20"/>
        </w:rPr>
        <w:t xml:space="preserve"> and suggestions received during the consultation process. Key </w:t>
      </w:r>
      <w:r w:rsidR="0096431F" w:rsidRPr="00663955">
        <w:rPr>
          <w:rFonts w:ascii="Arial" w:hAnsi="Arial" w:cs="Arial"/>
          <w:sz w:val="24"/>
          <w:szCs w:val="20"/>
        </w:rPr>
        <w:t>responses</w:t>
      </w:r>
      <w:r w:rsidRPr="00663955">
        <w:rPr>
          <w:rFonts w:ascii="Arial" w:hAnsi="Arial" w:cs="Arial"/>
          <w:sz w:val="24"/>
          <w:szCs w:val="20"/>
        </w:rPr>
        <w:t xml:space="preserve"> and the Bank’s </w:t>
      </w:r>
      <w:r w:rsidR="0096431F" w:rsidRPr="00663955">
        <w:rPr>
          <w:rFonts w:ascii="Arial" w:hAnsi="Arial" w:cs="Arial"/>
          <w:sz w:val="24"/>
          <w:szCs w:val="20"/>
        </w:rPr>
        <w:t>feedback</w:t>
      </w:r>
      <w:r w:rsidRPr="00663955">
        <w:rPr>
          <w:rFonts w:ascii="Arial" w:hAnsi="Arial" w:cs="Arial"/>
          <w:sz w:val="24"/>
          <w:szCs w:val="20"/>
        </w:rPr>
        <w:t xml:space="preserve"> are provided in the following sections. Other comments and suggestions for clarification have been incorporated in the final policy </w:t>
      </w:r>
      <w:r w:rsidR="0096431F" w:rsidRPr="00663955">
        <w:rPr>
          <w:rFonts w:ascii="Arial" w:hAnsi="Arial" w:cs="Arial"/>
          <w:sz w:val="24"/>
          <w:szCs w:val="20"/>
        </w:rPr>
        <w:t xml:space="preserve">document </w:t>
      </w:r>
      <w:r w:rsidRPr="00663955">
        <w:rPr>
          <w:rFonts w:ascii="Arial" w:hAnsi="Arial" w:cs="Arial"/>
          <w:sz w:val="24"/>
          <w:szCs w:val="20"/>
        </w:rPr>
        <w:t>where appropriate.</w:t>
      </w:r>
    </w:p>
    <w:p w:rsidR="00CE5509" w:rsidRPr="00663955" w:rsidRDefault="00CE5509" w:rsidP="00CE5509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CE5509" w:rsidRPr="00663955" w:rsidRDefault="00CE5509" w:rsidP="00CE5509">
      <w:pPr>
        <w:pStyle w:val="Default"/>
      </w:pPr>
    </w:p>
    <w:p w:rsidR="00CE5509" w:rsidRPr="00663955" w:rsidRDefault="00CE5509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 w:rsidRPr="00663955">
        <w:rPr>
          <w:rFonts w:ascii="Arial" w:hAnsi="Arial" w:cs="Arial"/>
          <w:b/>
          <w:sz w:val="24"/>
          <w:szCs w:val="20"/>
        </w:rPr>
        <w:t xml:space="preserve">Bank Negara Malaysia </w:t>
      </w:r>
    </w:p>
    <w:p w:rsidR="00CE5509" w:rsidRPr="00663955" w:rsidRDefault="00663955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 w:rsidRPr="00663955">
        <w:rPr>
          <w:rFonts w:ascii="Arial" w:hAnsi="Arial" w:cs="Arial"/>
          <w:b/>
          <w:sz w:val="24"/>
          <w:szCs w:val="20"/>
        </w:rPr>
        <w:t>13</w:t>
      </w:r>
      <w:r w:rsidRPr="00F602C7">
        <w:rPr>
          <w:rFonts w:ascii="Arial" w:hAnsi="Arial" w:cs="Arial"/>
          <w:b/>
          <w:sz w:val="24"/>
          <w:szCs w:val="20"/>
        </w:rPr>
        <w:t xml:space="preserve"> </w:t>
      </w:r>
      <w:r w:rsidR="00B61951" w:rsidRPr="00663955">
        <w:rPr>
          <w:rFonts w:ascii="Arial" w:hAnsi="Arial" w:cs="Arial"/>
          <w:b/>
          <w:sz w:val="24"/>
          <w:szCs w:val="20"/>
        </w:rPr>
        <w:t>April</w:t>
      </w:r>
      <w:r w:rsidR="008C20E8" w:rsidRPr="00F602C7">
        <w:rPr>
          <w:rFonts w:ascii="Arial" w:hAnsi="Arial" w:cs="Arial"/>
          <w:b/>
          <w:sz w:val="24"/>
          <w:szCs w:val="20"/>
        </w:rPr>
        <w:t xml:space="preserve"> </w:t>
      </w:r>
      <w:r w:rsidR="00CE5509" w:rsidRPr="00F602C7">
        <w:rPr>
          <w:rFonts w:ascii="Arial" w:hAnsi="Arial" w:cs="Arial"/>
          <w:b/>
          <w:sz w:val="24"/>
          <w:szCs w:val="20"/>
        </w:rPr>
        <w:t>2017</w:t>
      </w:r>
    </w:p>
    <w:p w:rsidR="000A1908" w:rsidRPr="00663955" w:rsidRDefault="000A1908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0A1908" w:rsidRPr="00663955" w:rsidRDefault="000A1908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0A1908" w:rsidRPr="00663955" w:rsidRDefault="000A1908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0A1908" w:rsidRPr="00663955" w:rsidRDefault="000A1908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0A1908" w:rsidRPr="00663955" w:rsidRDefault="000A1908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0A1908" w:rsidRPr="00663955" w:rsidRDefault="000A1908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0A1908" w:rsidRPr="00663955" w:rsidRDefault="000A1908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0A1908" w:rsidRPr="00663955" w:rsidRDefault="000A1908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4C527B" w:rsidRPr="00663955" w:rsidRDefault="004C527B" w:rsidP="005B7D9E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5D5E37" w:rsidRPr="00663955" w:rsidRDefault="00DE710C" w:rsidP="00542682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360" w:lineRule="auto"/>
        <w:ind w:left="709" w:hanging="709"/>
        <w:jc w:val="both"/>
        <w:rPr>
          <w:rFonts w:ascii="Arial" w:hAnsi="Arial" w:cs="Arial"/>
          <w:b/>
          <w:sz w:val="24"/>
          <w:szCs w:val="20"/>
        </w:rPr>
      </w:pPr>
      <w:r w:rsidRPr="00663955">
        <w:rPr>
          <w:rFonts w:ascii="Arial" w:hAnsi="Arial" w:cs="Arial"/>
          <w:b/>
          <w:sz w:val="24"/>
          <w:szCs w:val="20"/>
        </w:rPr>
        <w:lastRenderedPageBreak/>
        <w:t>Eligibility Requirements for Dealers and Brokers</w:t>
      </w:r>
    </w:p>
    <w:p w:rsidR="00F80CBB" w:rsidRPr="00663955" w:rsidRDefault="00542682" w:rsidP="00F465AF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Several insurance companies and </w:t>
      </w:r>
      <w:proofErr w:type="spellStart"/>
      <w:r w:rsidRPr="00663955">
        <w:rPr>
          <w:rFonts w:ascii="Arial" w:hAnsi="Arial" w:cs="Arial"/>
          <w:sz w:val="24"/>
          <w:szCs w:val="20"/>
        </w:rPr>
        <w:t>takaful</w:t>
      </w:r>
      <w:proofErr w:type="spellEnd"/>
      <w:r w:rsidRPr="00663955">
        <w:rPr>
          <w:rFonts w:ascii="Arial" w:hAnsi="Arial" w:cs="Arial"/>
          <w:sz w:val="24"/>
          <w:szCs w:val="20"/>
        </w:rPr>
        <w:t xml:space="preserve"> operators sought clarification</w:t>
      </w:r>
      <w:r w:rsidR="0069247C" w:rsidRPr="00663955">
        <w:rPr>
          <w:rFonts w:ascii="Arial" w:hAnsi="Arial" w:cs="Arial"/>
          <w:sz w:val="24"/>
          <w:szCs w:val="20"/>
        </w:rPr>
        <w:t>s on</w:t>
      </w:r>
      <w:r w:rsidRPr="00663955">
        <w:rPr>
          <w:rFonts w:ascii="Arial" w:hAnsi="Arial" w:cs="Arial"/>
          <w:sz w:val="24"/>
          <w:szCs w:val="20"/>
        </w:rPr>
        <w:t xml:space="preserve"> whether </w:t>
      </w:r>
      <w:r w:rsidR="00C133C4" w:rsidRPr="00663955">
        <w:rPr>
          <w:rFonts w:ascii="Arial" w:hAnsi="Arial" w:cs="Arial"/>
          <w:sz w:val="24"/>
          <w:szCs w:val="20"/>
        </w:rPr>
        <w:t>ACI – Financial Markets Association of Malaysia</w:t>
      </w:r>
      <w:r w:rsidR="00105957" w:rsidRPr="00663955">
        <w:rPr>
          <w:rFonts w:ascii="Arial" w:hAnsi="Arial" w:cs="Arial"/>
          <w:sz w:val="24"/>
          <w:szCs w:val="20"/>
        </w:rPr>
        <w:t xml:space="preserve"> (FMAM)</w:t>
      </w:r>
      <w:r w:rsidR="0069247C" w:rsidRPr="00663955">
        <w:rPr>
          <w:rFonts w:ascii="Arial" w:hAnsi="Arial" w:cs="Arial"/>
          <w:sz w:val="24"/>
          <w:szCs w:val="20"/>
        </w:rPr>
        <w:t xml:space="preserve"> membership requirements</w:t>
      </w:r>
      <w:r w:rsidR="00C133C4" w:rsidRPr="00663955">
        <w:rPr>
          <w:rFonts w:ascii="Arial" w:hAnsi="Arial" w:cs="Arial"/>
          <w:sz w:val="24"/>
          <w:szCs w:val="20"/>
        </w:rPr>
        <w:t xml:space="preserve"> as </w:t>
      </w:r>
      <w:r w:rsidR="0069247C" w:rsidRPr="00663955">
        <w:rPr>
          <w:rFonts w:ascii="Arial" w:hAnsi="Arial" w:cs="Arial"/>
          <w:sz w:val="24"/>
          <w:szCs w:val="20"/>
        </w:rPr>
        <w:t>set out in</w:t>
      </w:r>
      <w:r w:rsidR="00C133C4" w:rsidRPr="00663955">
        <w:rPr>
          <w:rFonts w:ascii="Arial" w:hAnsi="Arial" w:cs="Arial"/>
          <w:sz w:val="24"/>
          <w:szCs w:val="20"/>
        </w:rPr>
        <w:t xml:space="preserve"> the </w:t>
      </w:r>
      <w:r w:rsidR="0069247C" w:rsidRPr="00663955">
        <w:rPr>
          <w:rFonts w:ascii="Arial" w:hAnsi="Arial" w:cs="Arial"/>
          <w:sz w:val="24"/>
          <w:szCs w:val="20"/>
        </w:rPr>
        <w:t xml:space="preserve">Bank’s </w:t>
      </w:r>
      <w:proofErr w:type="spellStart"/>
      <w:r w:rsidR="00C133C4" w:rsidRPr="00663955">
        <w:rPr>
          <w:rFonts w:ascii="Arial" w:hAnsi="Arial" w:cs="Arial"/>
          <w:sz w:val="24"/>
          <w:szCs w:val="20"/>
        </w:rPr>
        <w:t>Surat</w:t>
      </w:r>
      <w:proofErr w:type="spellEnd"/>
      <w:r w:rsidR="0032348B" w:rsidRPr="00663955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32348B" w:rsidRPr="00663955">
        <w:rPr>
          <w:rFonts w:ascii="Arial" w:hAnsi="Arial" w:cs="Arial"/>
          <w:sz w:val="24"/>
          <w:szCs w:val="20"/>
        </w:rPr>
        <w:t>Pekeliling</w:t>
      </w:r>
      <w:proofErr w:type="spellEnd"/>
      <w:r w:rsidR="0032348B" w:rsidRPr="00663955">
        <w:rPr>
          <w:rFonts w:ascii="Arial" w:hAnsi="Arial" w:cs="Arial"/>
          <w:sz w:val="24"/>
          <w:szCs w:val="20"/>
        </w:rPr>
        <w:t xml:space="preserve"> JPI: 7/2005 as well as Part B of the policy document </w:t>
      </w:r>
      <w:proofErr w:type="gramStart"/>
      <w:r w:rsidR="0069247C" w:rsidRPr="00663955">
        <w:rPr>
          <w:rFonts w:ascii="Arial" w:hAnsi="Arial" w:cs="Arial"/>
          <w:sz w:val="24"/>
          <w:szCs w:val="20"/>
        </w:rPr>
        <w:t>are</w:t>
      </w:r>
      <w:proofErr w:type="gramEnd"/>
      <w:r w:rsidR="0069247C" w:rsidRPr="00663955">
        <w:rPr>
          <w:rFonts w:ascii="Arial" w:hAnsi="Arial" w:cs="Arial"/>
          <w:sz w:val="24"/>
          <w:szCs w:val="20"/>
        </w:rPr>
        <w:t xml:space="preserve"> applicable </w:t>
      </w:r>
      <w:r w:rsidR="0032348B" w:rsidRPr="00663955">
        <w:rPr>
          <w:rFonts w:ascii="Arial" w:hAnsi="Arial" w:cs="Arial"/>
          <w:sz w:val="24"/>
          <w:szCs w:val="20"/>
        </w:rPr>
        <w:t xml:space="preserve">to </w:t>
      </w:r>
      <w:r w:rsidR="0069247C" w:rsidRPr="00663955">
        <w:rPr>
          <w:rFonts w:ascii="Arial" w:hAnsi="Arial" w:cs="Arial"/>
          <w:sz w:val="24"/>
          <w:szCs w:val="20"/>
        </w:rPr>
        <w:t>their dealers</w:t>
      </w:r>
      <w:r w:rsidR="0032348B" w:rsidRPr="00663955">
        <w:rPr>
          <w:rFonts w:ascii="Arial" w:hAnsi="Arial" w:cs="Arial"/>
          <w:sz w:val="24"/>
          <w:szCs w:val="20"/>
        </w:rPr>
        <w:t>.</w:t>
      </w:r>
      <w:r w:rsidR="00F465AF" w:rsidRPr="00663955">
        <w:rPr>
          <w:rFonts w:ascii="Arial" w:hAnsi="Arial" w:cs="Arial"/>
          <w:sz w:val="24"/>
          <w:szCs w:val="20"/>
        </w:rPr>
        <w:t xml:space="preserve"> </w:t>
      </w:r>
      <w:r w:rsidR="002E14C0" w:rsidRPr="00663955">
        <w:rPr>
          <w:rFonts w:ascii="Arial" w:hAnsi="Arial" w:cs="Arial"/>
          <w:sz w:val="24"/>
          <w:szCs w:val="20"/>
        </w:rPr>
        <w:t xml:space="preserve">The Bank wishes to </w:t>
      </w:r>
      <w:r w:rsidR="00E14289" w:rsidRPr="00663955">
        <w:rPr>
          <w:rFonts w:ascii="Arial" w:hAnsi="Arial" w:cs="Arial"/>
          <w:sz w:val="24"/>
          <w:szCs w:val="20"/>
        </w:rPr>
        <w:t xml:space="preserve">clarify that there is no change to the membership requirements stated in the </w:t>
      </w:r>
      <w:proofErr w:type="spellStart"/>
      <w:r w:rsidR="00E14289" w:rsidRPr="00663955">
        <w:rPr>
          <w:rFonts w:ascii="Arial" w:hAnsi="Arial" w:cs="Arial"/>
          <w:sz w:val="24"/>
          <w:szCs w:val="20"/>
        </w:rPr>
        <w:t>Surat</w:t>
      </w:r>
      <w:proofErr w:type="spellEnd"/>
      <w:r w:rsidR="00E14289" w:rsidRPr="00663955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E14289" w:rsidRPr="00663955">
        <w:rPr>
          <w:rFonts w:ascii="Arial" w:hAnsi="Arial" w:cs="Arial"/>
          <w:sz w:val="24"/>
          <w:szCs w:val="20"/>
        </w:rPr>
        <w:t>Pekeliling</w:t>
      </w:r>
      <w:proofErr w:type="spellEnd"/>
      <w:r w:rsidR="00E14289" w:rsidRPr="00663955">
        <w:rPr>
          <w:rFonts w:ascii="Arial" w:hAnsi="Arial" w:cs="Arial"/>
          <w:sz w:val="24"/>
          <w:szCs w:val="20"/>
        </w:rPr>
        <w:t xml:space="preserve">. To </w:t>
      </w:r>
      <w:r w:rsidR="00572C41" w:rsidRPr="00663955">
        <w:rPr>
          <w:rFonts w:ascii="Arial" w:hAnsi="Arial" w:cs="Arial"/>
          <w:sz w:val="24"/>
          <w:szCs w:val="20"/>
        </w:rPr>
        <w:t xml:space="preserve">emphasize the </w:t>
      </w:r>
      <w:r w:rsidR="00E14289" w:rsidRPr="00663955">
        <w:rPr>
          <w:rFonts w:ascii="Arial" w:hAnsi="Arial" w:cs="Arial"/>
          <w:sz w:val="24"/>
          <w:szCs w:val="20"/>
        </w:rPr>
        <w:t xml:space="preserve">Bank’s </w:t>
      </w:r>
      <w:r w:rsidR="00572C41" w:rsidRPr="00663955">
        <w:rPr>
          <w:rFonts w:ascii="Arial" w:hAnsi="Arial" w:cs="Arial"/>
          <w:sz w:val="24"/>
          <w:szCs w:val="20"/>
        </w:rPr>
        <w:t>expectation fo</w:t>
      </w:r>
      <w:bookmarkStart w:id="0" w:name="_GoBack"/>
      <w:bookmarkEnd w:id="0"/>
      <w:r w:rsidR="00572C41" w:rsidRPr="00663955">
        <w:rPr>
          <w:rFonts w:ascii="Arial" w:hAnsi="Arial" w:cs="Arial"/>
          <w:sz w:val="24"/>
          <w:szCs w:val="20"/>
        </w:rPr>
        <w:t xml:space="preserve">r </w:t>
      </w:r>
      <w:r w:rsidR="002E14C0" w:rsidRPr="00663955">
        <w:rPr>
          <w:rFonts w:ascii="Arial" w:hAnsi="Arial" w:cs="Arial"/>
          <w:sz w:val="24"/>
          <w:szCs w:val="20"/>
        </w:rPr>
        <w:t xml:space="preserve">market participants, particularly </w:t>
      </w:r>
      <w:r w:rsidR="00572C41" w:rsidRPr="00663955">
        <w:rPr>
          <w:rFonts w:ascii="Arial" w:hAnsi="Arial" w:cs="Arial"/>
          <w:sz w:val="24"/>
          <w:szCs w:val="20"/>
        </w:rPr>
        <w:t xml:space="preserve">those employed by </w:t>
      </w:r>
      <w:r w:rsidR="00663955" w:rsidRPr="00663955">
        <w:rPr>
          <w:rFonts w:ascii="Arial" w:hAnsi="Arial" w:cs="Arial"/>
          <w:sz w:val="24"/>
          <w:szCs w:val="20"/>
        </w:rPr>
        <w:t>f</w:t>
      </w:r>
      <w:r w:rsidR="00572C41" w:rsidRPr="00663955">
        <w:rPr>
          <w:rFonts w:ascii="Arial" w:hAnsi="Arial" w:cs="Arial"/>
          <w:sz w:val="24"/>
          <w:szCs w:val="20"/>
        </w:rPr>
        <w:t xml:space="preserve">inancial </w:t>
      </w:r>
      <w:r w:rsidR="00663955" w:rsidRPr="00663955">
        <w:rPr>
          <w:rFonts w:ascii="Arial" w:hAnsi="Arial" w:cs="Arial"/>
          <w:sz w:val="24"/>
          <w:szCs w:val="20"/>
        </w:rPr>
        <w:t>i</w:t>
      </w:r>
      <w:r w:rsidR="00572C41" w:rsidRPr="00663955">
        <w:rPr>
          <w:rFonts w:ascii="Arial" w:hAnsi="Arial" w:cs="Arial"/>
          <w:sz w:val="24"/>
          <w:szCs w:val="20"/>
        </w:rPr>
        <w:t xml:space="preserve">nstitutions, to be competent, trustworthy and </w:t>
      </w:r>
      <w:r w:rsidR="00D011F3" w:rsidRPr="00663955">
        <w:rPr>
          <w:rFonts w:ascii="Arial" w:hAnsi="Arial" w:cs="Arial"/>
          <w:sz w:val="24"/>
          <w:szCs w:val="20"/>
        </w:rPr>
        <w:t>financially sound</w:t>
      </w:r>
      <w:r w:rsidR="00E14289" w:rsidRPr="00663955">
        <w:rPr>
          <w:rFonts w:ascii="Arial" w:hAnsi="Arial" w:cs="Arial"/>
          <w:sz w:val="24"/>
          <w:szCs w:val="20"/>
        </w:rPr>
        <w:t xml:space="preserve">, </w:t>
      </w:r>
      <w:r w:rsidR="00B63BF7" w:rsidRPr="00663955">
        <w:rPr>
          <w:rFonts w:ascii="Arial" w:hAnsi="Arial" w:cs="Arial"/>
          <w:sz w:val="24"/>
          <w:szCs w:val="20"/>
        </w:rPr>
        <w:t>the applicability in</w:t>
      </w:r>
      <w:r w:rsidR="00C133C4" w:rsidRPr="00663955">
        <w:rPr>
          <w:rFonts w:ascii="Arial" w:hAnsi="Arial" w:cs="Arial"/>
          <w:sz w:val="24"/>
          <w:szCs w:val="20"/>
        </w:rPr>
        <w:t xml:space="preserve"> Part B </w:t>
      </w:r>
      <w:r w:rsidR="0032348B" w:rsidRPr="00663955">
        <w:rPr>
          <w:rFonts w:ascii="Arial" w:hAnsi="Arial" w:cs="Arial"/>
          <w:sz w:val="24"/>
          <w:szCs w:val="20"/>
        </w:rPr>
        <w:t xml:space="preserve">was </w:t>
      </w:r>
      <w:r w:rsidR="00F465AF" w:rsidRPr="00663955">
        <w:rPr>
          <w:rFonts w:ascii="Arial" w:hAnsi="Arial" w:cs="Arial"/>
          <w:sz w:val="24"/>
          <w:szCs w:val="20"/>
        </w:rPr>
        <w:t>revised</w:t>
      </w:r>
      <w:r w:rsidR="0032348B" w:rsidRPr="00663955">
        <w:rPr>
          <w:rFonts w:ascii="Arial" w:hAnsi="Arial" w:cs="Arial"/>
          <w:sz w:val="24"/>
          <w:szCs w:val="20"/>
        </w:rPr>
        <w:t xml:space="preserve"> to include insurance companies and </w:t>
      </w:r>
      <w:proofErr w:type="spellStart"/>
      <w:r w:rsidR="0032348B" w:rsidRPr="00663955">
        <w:rPr>
          <w:rFonts w:ascii="Arial" w:hAnsi="Arial" w:cs="Arial"/>
          <w:sz w:val="24"/>
          <w:szCs w:val="20"/>
        </w:rPr>
        <w:t>takaful</w:t>
      </w:r>
      <w:proofErr w:type="spellEnd"/>
      <w:r w:rsidR="0032348B" w:rsidRPr="00663955">
        <w:rPr>
          <w:rFonts w:ascii="Arial" w:hAnsi="Arial" w:cs="Arial"/>
          <w:sz w:val="24"/>
          <w:szCs w:val="20"/>
        </w:rPr>
        <w:t xml:space="preserve"> operators.</w:t>
      </w:r>
    </w:p>
    <w:p w:rsidR="00542682" w:rsidRPr="00663955" w:rsidRDefault="0032348B" w:rsidP="00F465AF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There were also queries from respondents in relation to </w:t>
      </w:r>
      <w:r w:rsidR="00F80CBB" w:rsidRPr="00663955">
        <w:rPr>
          <w:rFonts w:ascii="Arial" w:hAnsi="Arial" w:cs="Arial"/>
          <w:sz w:val="24"/>
          <w:szCs w:val="20"/>
        </w:rPr>
        <w:t xml:space="preserve">the scope of activities that can be undertaken by trainee dealers </w:t>
      </w:r>
      <w:r w:rsidR="00F465AF" w:rsidRPr="00663955">
        <w:rPr>
          <w:rFonts w:ascii="Arial" w:hAnsi="Arial" w:cs="Arial"/>
          <w:sz w:val="24"/>
          <w:szCs w:val="20"/>
        </w:rPr>
        <w:t>or</w:t>
      </w:r>
      <w:r w:rsidR="00F80CBB" w:rsidRPr="00663955">
        <w:rPr>
          <w:rFonts w:ascii="Arial" w:hAnsi="Arial" w:cs="Arial"/>
          <w:sz w:val="24"/>
          <w:szCs w:val="20"/>
        </w:rPr>
        <w:t xml:space="preserve"> trainee brokers prior to </w:t>
      </w:r>
      <w:r w:rsidR="00F465AF" w:rsidRPr="00663955">
        <w:rPr>
          <w:rFonts w:ascii="Arial" w:hAnsi="Arial" w:cs="Arial"/>
          <w:sz w:val="24"/>
          <w:szCs w:val="20"/>
        </w:rPr>
        <w:t xml:space="preserve">being </w:t>
      </w:r>
      <w:r w:rsidR="00F80CBB" w:rsidRPr="00663955">
        <w:rPr>
          <w:rFonts w:ascii="Arial" w:hAnsi="Arial" w:cs="Arial"/>
          <w:sz w:val="24"/>
          <w:szCs w:val="20"/>
        </w:rPr>
        <w:t xml:space="preserve">appointed as dealers </w:t>
      </w:r>
      <w:r w:rsidR="00F465AF" w:rsidRPr="00663955">
        <w:rPr>
          <w:rFonts w:ascii="Arial" w:hAnsi="Arial" w:cs="Arial"/>
          <w:sz w:val="24"/>
          <w:szCs w:val="20"/>
        </w:rPr>
        <w:t>or</w:t>
      </w:r>
      <w:r w:rsidR="00F80CBB" w:rsidRPr="00663955">
        <w:rPr>
          <w:rFonts w:ascii="Arial" w:hAnsi="Arial" w:cs="Arial"/>
          <w:sz w:val="24"/>
          <w:szCs w:val="20"/>
        </w:rPr>
        <w:t xml:space="preserve"> brokers. Several respondents recommended that trainee dealers </w:t>
      </w:r>
      <w:r w:rsidR="00F465AF" w:rsidRPr="00663955">
        <w:rPr>
          <w:rFonts w:ascii="Arial" w:hAnsi="Arial" w:cs="Arial"/>
          <w:sz w:val="24"/>
          <w:szCs w:val="20"/>
        </w:rPr>
        <w:t>or</w:t>
      </w:r>
      <w:r w:rsidR="00F80CBB" w:rsidRPr="00663955">
        <w:rPr>
          <w:rFonts w:ascii="Arial" w:hAnsi="Arial" w:cs="Arial"/>
          <w:sz w:val="24"/>
          <w:szCs w:val="20"/>
        </w:rPr>
        <w:t xml:space="preserve"> trainee brokers should be allowed to </w:t>
      </w:r>
      <w:r w:rsidR="00F465AF" w:rsidRPr="00663955">
        <w:rPr>
          <w:rFonts w:ascii="Arial" w:hAnsi="Arial" w:cs="Arial"/>
          <w:sz w:val="24"/>
          <w:szCs w:val="20"/>
        </w:rPr>
        <w:t xml:space="preserve">familiarise themselves with the dealing system or </w:t>
      </w:r>
      <w:r w:rsidR="0069247C" w:rsidRPr="00663955">
        <w:rPr>
          <w:rFonts w:ascii="Arial" w:hAnsi="Arial" w:cs="Arial"/>
          <w:sz w:val="24"/>
          <w:szCs w:val="20"/>
        </w:rPr>
        <w:t xml:space="preserve">when dealing with </w:t>
      </w:r>
      <w:r w:rsidR="00F465AF" w:rsidRPr="00663955">
        <w:rPr>
          <w:rFonts w:ascii="Arial" w:hAnsi="Arial" w:cs="Arial"/>
          <w:sz w:val="24"/>
          <w:szCs w:val="20"/>
        </w:rPr>
        <w:t xml:space="preserve">other market participants </w:t>
      </w:r>
      <w:r w:rsidR="0069247C" w:rsidRPr="00663955">
        <w:rPr>
          <w:rFonts w:ascii="Arial" w:hAnsi="Arial" w:cs="Arial"/>
          <w:sz w:val="24"/>
          <w:szCs w:val="20"/>
        </w:rPr>
        <w:t>provided it is under</w:t>
      </w:r>
      <w:r w:rsidR="00F465AF" w:rsidRPr="00663955">
        <w:rPr>
          <w:rFonts w:ascii="Arial" w:hAnsi="Arial" w:cs="Arial"/>
          <w:sz w:val="24"/>
          <w:szCs w:val="20"/>
        </w:rPr>
        <w:t xml:space="preserve"> the supervision of dealers or brokers as part of their training. </w:t>
      </w:r>
      <w:r w:rsidR="00BF779A" w:rsidRPr="00663955">
        <w:rPr>
          <w:rFonts w:ascii="Arial" w:hAnsi="Arial" w:cs="Arial"/>
          <w:sz w:val="24"/>
          <w:szCs w:val="20"/>
        </w:rPr>
        <w:t xml:space="preserve">The Bank agrees that trainee dealers or trainee brokers should be given the opportunities to </w:t>
      </w:r>
      <w:r w:rsidR="0000380E" w:rsidRPr="00663955">
        <w:rPr>
          <w:rFonts w:ascii="Arial" w:hAnsi="Arial" w:cs="Arial"/>
          <w:sz w:val="24"/>
          <w:szCs w:val="20"/>
        </w:rPr>
        <w:t xml:space="preserve">build </w:t>
      </w:r>
      <w:r w:rsidR="00BF779A" w:rsidRPr="00663955">
        <w:rPr>
          <w:rFonts w:ascii="Arial" w:hAnsi="Arial" w:cs="Arial"/>
          <w:sz w:val="24"/>
          <w:szCs w:val="20"/>
        </w:rPr>
        <w:t xml:space="preserve">relevant capabilities </w:t>
      </w:r>
      <w:r w:rsidR="00DE3ACA" w:rsidRPr="00663955">
        <w:rPr>
          <w:rFonts w:ascii="Arial" w:hAnsi="Arial" w:cs="Arial"/>
          <w:sz w:val="24"/>
          <w:szCs w:val="20"/>
        </w:rPr>
        <w:t>under proper guidance</w:t>
      </w:r>
      <w:r w:rsidR="00386C43" w:rsidRPr="00663955">
        <w:rPr>
          <w:rFonts w:ascii="Arial" w:hAnsi="Arial" w:cs="Arial"/>
          <w:sz w:val="24"/>
          <w:szCs w:val="20"/>
        </w:rPr>
        <w:t>.</w:t>
      </w:r>
      <w:r w:rsidR="00F465AF" w:rsidRPr="00663955">
        <w:rPr>
          <w:rFonts w:ascii="Arial" w:hAnsi="Arial" w:cs="Arial"/>
          <w:sz w:val="24"/>
          <w:szCs w:val="20"/>
        </w:rPr>
        <w:t xml:space="preserve"> </w:t>
      </w:r>
      <w:r w:rsidR="00BF779A" w:rsidRPr="00663955">
        <w:rPr>
          <w:rFonts w:ascii="Arial" w:hAnsi="Arial" w:cs="Arial"/>
          <w:sz w:val="24"/>
          <w:szCs w:val="20"/>
        </w:rPr>
        <w:t xml:space="preserve">Accordingly, </w:t>
      </w:r>
      <w:r w:rsidR="006E33C6" w:rsidRPr="00663955">
        <w:rPr>
          <w:rFonts w:ascii="Arial" w:hAnsi="Arial" w:cs="Arial"/>
          <w:sz w:val="24"/>
          <w:szCs w:val="20"/>
        </w:rPr>
        <w:t xml:space="preserve">the </w:t>
      </w:r>
      <w:r w:rsidR="00D62584" w:rsidRPr="00663955">
        <w:rPr>
          <w:rFonts w:ascii="Arial" w:hAnsi="Arial" w:cs="Arial"/>
          <w:sz w:val="24"/>
          <w:szCs w:val="20"/>
        </w:rPr>
        <w:t>exposure draft</w:t>
      </w:r>
      <w:r w:rsidR="006E33C6" w:rsidRPr="00663955">
        <w:rPr>
          <w:rFonts w:ascii="Arial" w:hAnsi="Arial" w:cs="Arial"/>
          <w:sz w:val="24"/>
          <w:szCs w:val="20"/>
        </w:rPr>
        <w:t xml:space="preserve"> </w:t>
      </w:r>
      <w:r w:rsidR="0069247C" w:rsidRPr="00663955">
        <w:rPr>
          <w:rFonts w:ascii="Arial" w:hAnsi="Arial" w:cs="Arial"/>
          <w:sz w:val="24"/>
          <w:szCs w:val="20"/>
        </w:rPr>
        <w:t>has been amended to clarify</w:t>
      </w:r>
      <w:r w:rsidR="006E33C6" w:rsidRPr="00663955">
        <w:rPr>
          <w:rFonts w:ascii="Arial" w:hAnsi="Arial" w:cs="Arial"/>
          <w:sz w:val="24"/>
          <w:szCs w:val="20"/>
        </w:rPr>
        <w:t xml:space="preserve"> the permitted activities of trainee dealers or trainee brokers in paragraph 7.4.</w:t>
      </w:r>
    </w:p>
    <w:p w:rsidR="00F80CBB" w:rsidRPr="00663955" w:rsidRDefault="001A5D01" w:rsidP="00E718D5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A number of respondents viewed that </w:t>
      </w:r>
      <w:r w:rsidR="00E718D5" w:rsidRPr="00663955">
        <w:rPr>
          <w:rFonts w:ascii="Arial" w:hAnsi="Arial" w:cs="Arial"/>
          <w:sz w:val="24"/>
          <w:szCs w:val="20"/>
        </w:rPr>
        <w:t>the requirement to suspend dealers and brokers who are being investigated for non-compliance with the policy document may be too punitive. It was highlighted that institutions should retain the discretion in determining necessary actions depending on</w:t>
      </w:r>
      <w:r w:rsidR="00CC79E7" w:rsidRPr="00663955">
        <w:rPr>
          <w:rFonts w:ascii="Arial" w:hAnsi="Arial" w:cs="Arial"/>
          <w:sz w:val="24"/>
          <w:szCs w:val="20"/>
        </w:rPr>
        <w:t xml:space="preserve"> the severity of non-compliance given the wide coverage of the policy document.</w:t>
      </w:r>
      <w:r w:rsidR="00E718D5" w:rsidRPr="00663955">
        <w:rPr>
          <w:rFonts w:ascii="Arial" w:hAnsi="Arial" w:cs="Arial"/>
          <w:sz w:val="24"/>
          <w:szCs w:val="20"/>
        </w:rPr>
        <w:t xml:space="preserve"> </w:t>
      </w:r>
      <w:r w:rsidR="00251110" w:rsidRPr="00663955">
        <w:rPr>
          <w:rFonts w:ascii="Arial" w:hAnsi="Arial" w:cs="Arial"/>
          <w:sz w:val="24"/>
          <w:szCs w:val="20"/>
        </w:rPr>
        <w:t xml:space="preserve">Accordingly, the Bank has provided flexibility to institutions </w:t>
      </w:r>
      <w:r w:rsidR="00533B5F" w:rsidRPr="00663955">
        <w:rPr>
          <w:rFonts w:ascii="Arial" w:hAnsi="Arial" w:cs="Arial"/>
          <w:sz w:val="24"/>
          <w:szCs w:val="20"/>
        </w:rPr>
        <w:t>on possible actions</w:t>
      </w:r>
      <w:r w:rsidR="007B1F72" w:rsidRPr="00663955">
        <w:rPr>
          <w:rFonts w:ascii="Arial" w:hAnsi="Arial" w:cs="Arial"/>
          <w:sz w:val="24"/>
          <w:szCs w:val="20"/>
        </w:rPr>
        <w:t xml:space="preserve"> to be</w:t>
      </w:r>
      <w:r w:rsidR="00533B5F" w:rsidRPr="00663955">
        <w:rPr>
          <w:rFonts w:ascii="Arial" w:hAnsi="Arial" w:cs="Arial"/>
          <w:sz w:val="24"/>
          <w:szCs w:val="20"/>
        </w:rPr>
        <w:t xml:space="preserve"> taken against</w:t>
      </w:r>
      <w:r w:rsidR="00251110" w:rsidRPr="00663955">
        <w:rPr>
          <w:rFonts w:ascii="Arial" w:hAnsi="Arial" w:cs="Arial"/>
          <w:sz w:val="24"/>
          <w:szCs w:val="20"/>
        </w:rPr>
        <w:t xml:space="preserve"> dealers or brokers who are subject to inquiry or investigation</w:t>
      </w:r>
      <w:r w:rsidR="00533B5F" w:rsidRPr="00663955">
        <w:rPr>
          <w:rFonts w:ascii="Arial" w:hAnsi="Arial" w:cs="Arial"/>
          <w:sz w:val="24"/>
          <w:szCs w:val="20"/>
        </w:rPr>
        <w:t xml:space="preserve"> in the final policy document</w:t>
      </w:r>
      <w:r w:rsidR="00251110" w:rsidRPr="00663955">
        <w:rPr>
          <w:rFonts w:ascii="Arial" w:hAnsi="Arial" w:cs="Arial"/>
          <w:sz w:val="24"/>
          <w:szCs w:val="20"/>
        </w:rPr>
        <w:t>. Never</w:t>
      </w:r>
      <w:r w:rsidR="00CC79E7" w:rsidRPr="00663955">
        <w:rPr>
          <w:rFonts w:ascii="Arial" w:hAnsi="Arial" w:cs="Arial"/>
          <w:sz w:val="24"/>
          <w:szCs w:val="20"/>
        </w:rPr>
        <w:t>theless, the Bank views that any</w:t>
      </w:r>
      <w:r w:rsidR="00251110" w:rsidRPr="00663955">
        <w:rPr>
          <w:rFonts w:ascii="Arial" w:hAnsi="Arial" w:cs="Arial"/>
          <w:sz w:val="24"/>
          <w:szCs w:val="20"/>
        </w:rPr>
        <w:t xml:space="preserve"> action taken must be proportionate to the severity of the non-compliance. </w:t>
      </w:r>
      <w:r w:rsidR="00105957" w:rsidRPr="00663955">
        <w:rPr>
          <w:rFonts w:ascii="Arial" w:hAnsi="Arial" w:cs="Arial"/>
          <w:sz w:val="24"/>
          <w:szCs w:val="20"/>
        </w:rPr>
        <w:t>Furthermore, the Bank also requires that any inquiry into dealers or brokers for suspected non-</w:t>
      </w:r>
      <w:r w:rsidR="00105957" w:rsidRPr="00663955">
        <w:rPr>
          <w:rFonts w:ascii="Arial" w:hAnsi="Arial" w:cs="Arial"/>
          <w:sz w:val="24"/>
          <w:szCs w:val="20"/>
        </w:rPr>
        <w:lastRenderedPageBreak/>
        <w:t>compliance and the subsequent actions taken to be reported to the Bank and FMAM</w:t>
      </w:r>
      <w:r w:rsidR="00533B5F" w:rsidRPr="00663955">
        <w:rPr>
          <w:rFonts w:ascii="Arial" w:hAnsi="Arial" w:cs="Arial"/>
          <w:sz w:val="24"/>
          <w:szCs w:val="20"/>
        </w:rPr>
        <w:t>.</w:t>
      </w:r>
    </w:p>
    <w:p w:rsidR="00BF779A" w:rsidRPr="00663955" w:rsidRDefault="00BF779A" w:rsidP="00CE5509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5D5E37" w:rsidRPr="00663955" w:rsidRDefault="003A5AB5" w:rsidP="00DE710C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0"/>
        </w:rPr>
      </w:pPr>
      <w:r w:rsidRPr="00663955">
        <w:rPr>
          <w:rFonts w:ascii="Arial" w:hAnsi="Arial" w:cs="Arial"/>
          <w:b/>
          <w:sz w:val="24"/>
          <w:szCs w:val="20"/>
        </w:rPr>
        <w:t>Dealing at Non-Current Rates</w:t>
      </w:r>
    </w:p>
    <w:p w:rsidR="00F52403" w:rsidRPr="00663955" w:rsidRDefault="00CC79E7" w:rsidP="00711AE1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The exposure draft </w:t>
      </w:r>
      <w:r w:rsidR="00796812" w:rsidRPr="00663955">
        <w:rPr>
          <w:rFonts w:ascii="Arial" w:hAnsi="Arial" w:cs="Arial"/>
          <w:sz w:val="24"/>
          <w:szCs w:val="20"/>
        </w:rPr>
        <w:t xml:space="preserve">proposed for market participants to obtain written approval from </w:t>
      </w:r>
      <w:r w:rsidR="007B1F72" w:rsidRPr="00663955">
        <w:rPr>
          <w:rFonts w:ascii="Arial" w:hAnsi="Arial" w:cs="Arial"/>
          <w:sz w:val="24"/>
          <w:szCs w:val="20"/>
        </w:rPr>
        <w:t xml:space="preserve">its </w:t>
      </w:r>
      <w:r w:rsidR="00796812" w:rsidRPr="00663955">
        <w:rPr>
          <w:rFonts w:ascii="Arial" w:hAnsi="Arial" w:cs="Arial"/>
          <w:sz w:val="24"/>
          <w:szCs w:val="20"/>
        </w:rPr>
        <w:t xml:space="preserve">management </w:t>
      </w:r>
      <w:r w:rsidR="007B1F72" w:rsidRPr="00663955">
        <w:rPr>
          <w:rFonts w:ascii="Arial" w:hAnsi="Arial" w:cs="Arial"/>
          <w:sz w:val="24"/>
          <w:szCs w:val="20"/>
        </w:rPr>
        <w:t xml:space="preserve">as well as counterparties’ management </w:t>
      </w:r>
      <w:r w:rsidR="00796812" w:rsidRPr="00663955">
        <w:rPr>
          <w:rFonts w:ascii="Arial" w:hAnsi="Arial" w:cs="Arial"/>
          <w:sz w:val="24"/>
          <w:szCs w:val="20"/>
        </w:rPr>
        <w:t>prior to dealing at non-current rates. In this context, non-current rates are described as transacted rates that deviate extremely from an actual market rate at the time of execution.</w:t>
      </w:r>
      <w:r w:rsidR="00711AE1" w:rsidRPr="00663955">
        <w:rPr>
          <w:rFonts w:ascii="Arial" w:hAnsi="Arial" w:cs="Arial"/>
          <w:sz w:val="24"/>
          <w:szCs w:val="20"/>
        </w:rPr>
        <w:t xml:space="preserve"> </w:t>
      </w:r>
      <w:r w:rsidR="00377AA1" w:rsidRPr="00663955">
        <w:rPr>
          <w:rFonts w:ascii="Arial" w:hAnsi="Arial" w:cs="Arial"/>
          <w:sz w:val="24"/>
          <w:szCs w:val="20"/>
        </w:rPr>
        <w:t xml:space="preserve">Some respondents </w:t>
      </w:r>
      <w:r w:rsidR="00C57EB8" w:rsidRPr="00663955">
        <w:rPr>
          <w:rFonts w:ascii="Arial" w:hAnsi="Arial" w:cs="Arial"/>
          <w:sz w:val="24"/>
          <w:szCs w:val="20"/>
        </w:rPr>
        <w:t>sought greater clarity</w:t>
      </w:r>
      <w:r w:rsidR="00377AA1" w:rsidRPr="00663955">
        <w:rPr>
          <w:rFonts w:ascii="Arial" w:hAnsi="Arial" w:cs="Arial"/>
          <w:sz w:val="24"/>
          <w:szCs w:val="20"/>
        </w:rPr>
        <w:t xml:space="preserve"> on the </w:t>
      </w:r>
      <w:r w:rsidR="00477450" w:rsidRPr="00663955">
        <w:rPr>
          <w:rFonts w:ascii="Arial" w:hAnsi="Arial" w:cs="Arial"/>
          <w:sz w:val="24"/>
          <w:szCs w:val="20"/>
        </w:rPr>
        <w:t>meaning</w:t>
      </w:r>
      <w:r w:rsidR="00377AA1" w:rsidRPr="00663955">
        <w:rPr>
          <w:rFonts w:ascii="Arial" w:hAnsi="Arial" w:cs="Arial"/>
          <w:sz w:val="24"/>
          <w:szCs w:val="20"/>
        </w:rPr>
        <w:t xml:space="preserve"> of </w:t>
      </w:r>
      <w:r w:rsidR="00C57EB8" w:rsidRPr="00663955">
        <w:rPr>
          <w:rFonts w:ascii="Arial" w:hAnsi="Arial" w:cs="Arial"/>
          <w:sz w:val="24"/>
          <w:szCs w:val="20"/>
        </w:rPr>
        <w:t>“extreme deviation of market rate”</w:t>
      </w:r>
      <w:r w:rsidR="00E81EC4" w:rsidRPr="00663955">
        <w:rPr>
          <w:rFonts w:ascii="Arial" w:hAnsi="Arial" w:cs="Arial"/>
          <w:sz w:val="24"/>
          <w:szCs w:val="20"/>
        </w:rPr>
        <w:t xml:space="preserve"> and</w:t>
      </w:r>
      <w:r w:rsidR="00C57EB8" w:rsidRPr="00663955">
        <w:rPr>
          <w:rFonts w:ascii="Arial" w:hAnsi="Arial" w:cs="Arial"/>
          <w:sz w:val="24"/>
          <w:szCs w:val="20"/>
        </w:rPr>
        <w:t xml:space="preserve"> highlighted that “extreme deviation of market rate” may </w:t>
      </w:r>
      <w:r w:rsidR="00E81EC4" w:rsidRPr="00663955">
        <w:rPr>
          <w:rFonts w:ascii="Arial" w:hAnsi="Arial" w:cs="Arial"/>
          <w:sz w:val="24"/>
          <w:szCs w:val="20"/>
        </w:rPr>
        <w:t>vary depending on</w:t>
      </w:r>
      <w:r w:rsidR="00711AE1" w:rsidRPr="00663955">
        <w:rPr>
          <w:rFonts w:ascii="Arial" w:hAnsi="Arial" w:cs="Arial"/>
          <w:sz w:val="24"/>
          <w:szCs w:val="20"/>
        </w:rPr>
        <w:t xml:space="preserve"> the</w:t>
      </w:r>
      <w:r w:rsidR="00E81EC4" w:rsidRPr="00663955">
        <w:rPr>
          <w:rFonts w:ascii="Arial" w:hAnsi="Arial" w:cs="Arial"/>
          <w:sz w:val="24"/>
          <w:szCs w:val="20"/>
        </w:rPr>
        <w:t xml:space="preserve"> </w:t>
      </w:r>
      <w:r w:rsidR="00711AE1" w:rsidRPr="00663955">
        <w:rPr>
          <w:rFonts w:ascii="Arial" w:hAnsi="Arial" w:cs="Arial"/>
          <w:sz w:val="24"/>
          <w:szCs w:val="20"/>
        </w:rPr>
        <w:t>type</w:t>
      </w:r>
      <w:r w:rsidRPr="00663955">
        <w:rPr>
          <w:rFonts w:ascii="Arial" w:hAnsi="Arial" w:cs="Arial"/>
          <w:sz w:val="24"/>
          <w:szCs w:val="20"/>
        </w:rPr>
        <w:t xml:space="preserve"> and liquidity of </w:t>
      </w:r>
      <w:r w:rsidR="00E81EC4" w:rsidRPr="00663955">
        <w:rPr>
          <w:rFonts w:ascii="Arial" w:hAnsi="Arial" w:cs="Arial"/>
          <w:sz w:val="24"/>
          <w:szCs w:val="20"/>
        </w:rPr>
        <w:t>market</w:t>
      </w:r>
      <w:r w:rsidR="00711AE1" w:rsidRPr="00663955">
        <w:rPr>
          <w:rFonts w:ascii="Arial" w:hAnsi="Arial" w:cs="Arial"/>
          <w:sz w:val="24"/>
          <w:szCs w:val="20"/>
        </w:rPr>
        <w:t>s</w:t>
      </w:r>
      <w:r w:rsidR="00E81EC4" w:rsidRPr="00663955">
        <w:rPr>
          <w:rFonts w:ascii="Arial" w:hAnsi="Arial" w:cs="Arial"/>
          <w:sz w:val="24"/>
          <w:szCs w:val="20"/>
        </w:rPr>
        <w:t xml:space="preserve">. </w:t>
      </w:r>
      <w:r w:rsidR="004C354F" w:rsidRPr="00663955">
        <w:rPr>
          <w:rFonts w:ascii="Arial" w:hAnsi="Arial" w:cs="Arial"/>
          <w:sz w:val="24"/>
          <w:szCs w:val="20"/>
        </w:rPr>
        <w:t>S</w:t>
      </w:r>
      <w:r w:rsidR="002D63E3" w:rsidRPr="00663955">
        <w:rPr>
          <w:rFonts w:ascii="Arial" w:hAnsi="Arial" w:cs="Arial"/>
          <w:sz w:val="24"/>
          <w:szCs w:val="20"/>
        </w:rPr>
        <w:t xml:space="preserve">ome </w:t>
      </w:r>
      <w:r w:rsidR="00711AE1" w:rsidRPr="00663955">
        <w:rPr>
          <w:rFonts w:ascii="Arial" w:hAnsi="Arial" w:cs="Arial"/>
          <w:sz w:val="24"/>
          <w:szCs w:val="20"/>
        </w:rPr>
        <w:t xml:space="preserve">respondents </w:t>
      </w:r>
      <w:r w:rsidR="004C354F" w:rsidRPr="00663955">
        <w:rPr>
          <w:rFonts w:ascii="Arial" w:hAnsi="Arial" w:cs="Arial"/>
          <w:sz w:val="24"/>
          <w:szCs w:val="20"/>
        </w:rPr>
        <w:t>further commented that</w:t>
      </w:r>
      <w:r w:rsidR="00711AE1" w:rsidRPr="00663955">
        <w:rPr>
          <w:rFonts w:ascii="Arial" w:hAnsi="Arial" w:cs="Arial"/>
          <w:sz w:val="24"/>
          <w:szCs w:val="20"/>
        </w:rPr>
        <w:t xml:space="preserve"> the requirements to obtain written approval from managements</w:t>
      </w:r>
      <w:r w:rsidR="00B16EB3" w:rsidRPr="00663955">
        <w:rPr>
          <w:rFonts w:ascii="Arial" w:hAnsi="Arial" w:cs="Arial"/>
          <w:sz w:val="24"/>
          <w:szCs w:val="20"/>
        </w:rPr>
        <w:t xml:space="preserve"> of both dealing parties involved</w:t>
      </w:r>
      <w:r w:rsidR="00711AE1" w:rsidRPr="00663955">
        <w:rPr>
          <w:rFonts w:ascii="Arial" w:hAnsi="Arial" w:cs="Arial"/>
          <w:sz w:val="24"/>
          <w:szCs w:val="20"/>
        </w:rPr>
        <w:t xml:space="preserve"> </w:t>
      </w:r>
      <w:r w:rsidR="004C354F" w:rsidRPr="00663955">
        <w:rPr>
          <w:rFonts w:ascii="Arial" w:hAnsi="Arial" w:cs="Arial"/>
          <w:sz w:val="24"/>
          <w:szCs w:val="20"/>
        </w:rPr>
        <w:t>are</w:t>
      </w:r>
      <w:r w:rsidR="00E346A9" w:rsidRPr="00663955">
        <w:rPr>
          <w:rFonts w:ascii="Arial" w:hAnsi="Arial" w:cs="Arial"/>
          <w:sz w:val="24"/>
          <w:szCs w:val="20"/>
        </w:rPr>
        <w:t xml:space="preserve"> onerous, particularly for historical rollover rates.</w:t>
      </w:r>
    </w:p>
    <w:p w:rsidR="00090FC5" w:rsidRPr="00663955" w:rsidRDefault="002D63E3" w:rsidP="00533939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The Bank wishes to clarify </w:t>
      </w:r>
      <w:r w:rsidR="00E346A9" w:rsidRPr="00663955">
        <w:rPr>
          <w:rFonts w:ascii="Arial" w:hAnsi="Arial" w:cs="Arial"/>
          <w:sz w:val="24"/>
          <w:szCs w:val="20"/>
        </w:rPr>
        <w:t xml:space="preserve">that it is not the intention of the policy document to prescribe a standardised definition for “extreme deviation of market rate” </w:t>
      </w:r>
      <w:r w:rsidR="00086784" w:rsidRPr="00663955">
        <w:rPr>
          <w:rFonts w:ascii="Arial" w:hAnsi="Arial" w:cs="Arial"/>
          <w:sz w:val="24"/>
          <w:szCs w:val="20"/>
        </w:rPr>
        <w:t xml:space="preserve">as it is dependent on market condition. </w:t>
      </w:r>
      <w:r w:rsidR="00F602C7">
        <w:rPr>
          <w:rFonts w:ascii="Arial" w:hAnsi="Arial" w:cs="Arial"/>
          <w:sz w:val="24"/>
          <w:szCs w:val="20"/>
        </w:rPr>
        <w:t>I</w:t>
      </w:r>
      <w:r w:rsidR="009A5ABD" w:rsidRPr="00663955">
        <w:rPr>
          <w:rFonts w:ascii="Arial" w:hAnsi="Arial" w:cs="Arial"/>
          <w:sz w:val="24"/>
          <w:szCs w:val="20"/>
        </w:rPr>
        <w:t>nstitutions</w:t>
      </w:r>
      <w:r w:rsidR="009D01D1" w:rsidRPr="00663955">
        <w:rPr>
          <w:rFonts w:ascii="Arial" w:hAnsi="Arial" w:cs="Arial"/>
          <w:sz w:val="24"/>
          <w:szCs w:val="20"/>
        </w:rPr>
        <w:t xml:space="preserve"> are allowed to set </w:t>
      </w:r>
      <w:r w:rsidR="00F602C7">
        <w:rPr>
          <w:rFonts w:ascii="Arial" w:hAnsi="Arial" w:cs="Arial"/>
          <w:sz w:val="24"/>
          <w:szCs w:val="20"/>
        </w:rPr>
        <w:t xml:space="preserve">their own </w:t>
      </w:r>
      <w:r w:rsidR="00841158" w:rsidRPr="00663955">
        <w:rPr>
          <w:rFonts w:ascii="Arial" w:hAnsi="Arial" w:cs="Arial"/>
          <w:sz w:val="24"/>
          <w:szCs w:val="20"/>
        </w:rPr>
        <w:t>internal threshold</w:t>
      </w:r>
      <w:r w:rsidR="00F602C7">
        <w:rPr>
          <w:rFonts w:ascii="Arial" w:hAnsi="Arial" w:cs="Arial"/>
          <w:sz w:val="24"/>
          <w:szCs w:val="20"/>
        </w:rPr>
        <w:t>s</w:t>
      </w:r>
      <w:r w:rsidR="00841158" w:rsidRPr="00663955">
        <w:rPr>
          <w:rFonts w:ascii="Arial" w:hAnsi="Arial" w:cs="Arial"/>
          <w:sz w:val="24"/>
          <w:szCs w:val="20"/>
        </w:rPr>
        <w:t xml:space="preserve"> for determination of non-current rate</w:t>
      </w:r>
      <w:r w:rsidR="008E1701">
        <w:rPr>
          <w:rFonts w:ascii="Arial" w:hAnsi="Arial" w:cs="Arial"/>
          <w:sz w:val="24"/>
          <w:szCs w:val="20"/>
        </w:rPr>
        <w:t>s</w:t>
      </w:r>
      <w:r w:rsidR="00841158" w:rsidRPr="00663955">
        <w:rPr>
          <w:rFonts w:ascii="Arial" w:hAnsi="Arial" w:cs="Arial"/>
          <w:sz w:val="24"/>
          <w:szCs w:val="20"/>
        </w:rPr>
        <w:t>.</w:t>
      </w:r>
      <w:r w:rsidR="004C354F" w:rsidRPr="00663955">
        <w:rPr>
          <w:rFonts w:ascii="Arial" w:hAnsi="Arial" w:cs="Arial"/>
          <w:sz w:val="24"/>
          <w:szCs w:val="20"/>
        </w:rPr>
        <w:t xml:space="preserve"> </w:t>
      </w:r>
      <w:r w:rsidR="00086784" w:rsidRPr="00663955">
        <w:rPr>
          <w:rFonts w:ascii="Arial" w:hAnsi="Arial" w:cs="Arial"/>
          <w:sz w:val="24"/>
          <w:szCs w:val="20"/>
        </w:rPr>
        <w:t xml:space="preserve">However, the Bank </w:t>
      </w:r>
      <w:r w:rsidR="009D01D1" w:rsidRPr="00663955">
        <w:rPr>
          <w:rFonts w:ascii="Arial" w:hAnsi="Arial" w:cs="Arial"/>
          <w:sz w:val="24"/>
          <w:szCs w:val="20"/>
        </w:rPr>
        <w:t>maintain</w:t>
      </w:r>
      <w:r w:rsidR="00841158" w:rsidRPr="00663955">
        <w:rPr>
          <w:rFonts w:ascii="Arial" w:hAnsi="Arial" w:cs="Arial"/>
          <w:sz w:val="24"/>
          <w:szCs w:val="20"/>
        </w:rPr>
        <w:t>s</w:t>
      </w:r>
      <w:r w:rsidR="009D01D1" w:rsidRPr="00663955">
        <w:rPr>
          <w:rFonts w:ascii="Arial" w:hAnsi="Arial" w:cs="Arial"/>
          <w:sz w:val="24"/>
          <w:szCs w:val="20"/>
        </w:rPr>
        <w:t xml:space="preserve"> the view that it is crucial for management </w:t>
      </w:r>
      <w:r w:rsidR="007B1F72" w:rsidRPr="00663955">
        <w:rPr>
          <w:rFonts w:ascii="Arial" w:hAnsi="Arial" w:cs="Arial"/>
          <w:sz w:val="24"/>
          <w:szCs w:val="20"/>
        </w:rPr>
        <w:t xml:space="preserve">to </w:t>
      </w:r>
      <w:r w:rsidR="00071DFA" w:rsidRPr="00663955">
        <w:rPr>
          <w:rFonts w:ascii="Arial" w:hAnsi="Arial" w:cs="Arial"/>
          <w:sz w:val="24"/>
          <w:szCs w:val="20"/>
        </w:rPr>
        <w:t>put in place proper control</w:t>
      </w:r>
      <w:r w:rsidR="00132BFF" w:rsidRPr="00663955">
        <w:rPr>
          <w:rFonts w:ascii="Arial" w:hAnsi="Arial" w:cs="Arial"/>
          <w:sz w:val="24"/>
          <w:szCs w:val="20"/>
        </w:rPr>
        <w:t>s</w:t>
      </w:r>
      <w:r w:rsidR="00071DFA" w:rsidRPr="00663955">
        <w:rPr>
          <w:rFonts w:ascii="Arial" w:hAnsi="Arial" w:cs="Arial"/>
          <w:sz w:val="24"/>
          <w:szCs w:val="20"/>
        </w:rPr>
        <w:t xml:space="preserve"> relating to</w:t>
      </w:r>
      <w:r w:rsidR="00841158" w:rsidRPr="00663955">
        <w:rPr>
          <w:rFonts w:ascii="Arial" w:hAnsi="Arial" w:cs="Arial"/>
          <w:sz w:val="24"/>
          <w:szCs w:val="20"/>
        </w:rPr>
        <w:t xml:space="preserve"> the usage of non-current rate</w:t>
      </w:r>
      <w:r w:rsidR="008E1701">
        <w:rPr>
          <w:rFonts w:ascii="Arial" w:hAnsi="Arial" w:cs="Arial"/>
          <w:sz w:val="24"/>
          <w:szCs w:val="20"/>
        </w:rPr>
        <w:t>s</w:t>
      </w:r>
      <w:r w:rsidR="00841158" w:rsidRPr="00663955">
        <w:rPr>
          <w:rFonts w:ascii="Arial" w:hAnsi="Arial" w:cs="Arial"/>
          <w:sz w:val="24"/>
          <w:szCs w:val="20"/>
        </w:rPr>
        <w:t xml:space="preserve"> to </w:t>
      </w:r>
      <w:r w:rsidR="00306668" w:rsidRPr="00663955">
        <w:rPr>
          <w:rFonts w:ascii="Arial" w:hAnsi="Arial" w:cs="Arial"/>
          <w:sz w:val="24"/>
          <w:szCs w:val="20"/>
        </w:rPr>
        <w:t>prevent unethical behaviour among market participants such</w:t>
      </w:r>
      <w:r w:rsidR="00132BFF" w:rsidRPr="00663955">
        <w:rPr>
          <w:rFonts w:ascii="Arial" w:hAnsi="Arial" w:cs="Arial"/>
          <w:sz w:val="24"/>
          <w:szCs w:val="20"/>
        </w:rPr>
        <w:t xml:space="preserve"> as concealment of profit or loss</w:t>
      </w:r>
      <w:r w:rsidR="00306668" w:rsidRPr="00663955">
        <w:rPr>
          <w:rFonts w:ascii="Arial" w:hAnsi="Arial" w:cs="Arial"/>
          <w:sz w:val="24"/>
          <w:szCs w:val="20"/>
        </w:rPr>
        <w:t xml:space="preserve"> and perpetration of fraud or tax evasion.</w:t>
      </w:r>
      <w:r w:rsidR="00841158" w:rsidRPr="00663955">
        <w:rPr>
          <w:rFonts w:ascii="Arial" w:hAnsi="Arial" w:cs="Arial"/>
          <w:sz w:val="24"/>
          <w:szCs w:val="20"/>
        </w:rPr>
        <w:t xml:space="preserve"> </w:t>
      </w:r>
      <w:r w:rsidR="00132BFF" w:rsidRPr="00663955">
        <w:rPr>
          <w:rFonts w:ascii="Arial" w:hAnsi="Arial" w:cs="Arial"/>
          <w:sz w:val="24"/>
          <w:szCs w:val="20"/>
        </w:rPr>
        <w:t>In this regard</w:t>
      </w:r>
      <w:r w:rsidR="00306668" w:rsidRPr="00663955">
        <w:rPr>
          <w:rFonts w:ascii="Arial" w:hAnsi="Arial" w:cs="Arial"/>
          <w:sz w:val="24"/>
          <w:szCs w:val="20"/>
        </w:rPr>
        <w:t xml:space="preserve">, paragraph </w:t>
      </w:r>
      <w:r w:rsidR="00C47F6A" w:rsidRPr="00F602C7">
        <w:rPr>
          <w:rFonts w:ascii="Arial" w:hAnsi="Arial" w:cs="Arial"/>
          <w:sz w:val="24"/>
          <w:szCs w:val="20"/>
        </w:rPr>
        <w:t>20</w:t>
      </w:r>
      <w:r w:rsidR="00306668" w:rsidRPr="00663955">
        <w:rPr>
          <w:rFonts w:ascii="Arial" w:hAnsi="Arial" w:cs="Arial"/>
          <w:sz w:val="24"/>
          <w:szCs w:val="20"/>
        </w:rPr>
        <w:t>.2 of the policy document clarifies</w:t>
      </w:r>
      <w:r w:rsidR="00071DFA" w:rsidRPr="00663955">
        <w:rPr>
          <w:rFonts w:ascii="Arial" w:hAnsi="Arial" w:cs="Arial"/>
          <w:sz w:val="24"/>
          <w:szCs w:val="20"/>
        </w:rPr>
        <w:t xml:space="preserve"> the</w:t>
      </w:r>
      <w:r w:rsidR="00DE3ACA" w:rsidRPr="00663955">
        <w:rPr>
          <w:rFonts w:ascii="Arial" w:hAnsi="Arial" w:cs="Arial"/>
          <w:sz w:val="24"/>
          <w:szCs w:val="20"/>
        </w:rPr>
        <w:t xml:space="preserve"> responsibilities of management.</w:t>
      </w:r>
    </w:p>
    <w:p w:rsidR="00DE3ACA" w:rsidRPr="00F602C7" w:rsidRDefault="00DE3ACA">
      <w:pPr>
        <w:pStyle w:val="ListParagraph"/>
        <w:spacing w:before="240" w:after="0" w:line="360" w:lineRule="auto"/>
        <w:ind w:left="709"/>
        <w:contextualSpacing w:val="0"/>
        <w:jc w:val="both"/>
        <w:rPr>
          <w:rFonts w:ascii="Arial" w:hAnsi="Arial" w:cs="Arial"/>
          <w:sz w:val="24"/>
          <w:szCs w:val="20"/>
        </w:rPr>
      </w:pPr>
    </w:p>
    <w:p w:rsidR="000D347F" w:rsidRPr="00663955" w:rsidRDefault="009F71B9" w:rsidP="000D347F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0"/>
        </w:rPr>
      </w:pPr>
      <w:r w:rsidRPr="00663955">
        <w:rPr>
          <w:rFonts w:ascii="Arial" w:hAnsi="Arial" w:cs="Arial"/>
          <w:b/>
          <w:sz w:val="24"/>
          <w:szCs w:val="20"/>
        </w:rPr>
        <w:t>Compliance</w:t>
      </w:r>
    </w:p>
    <w:p w:rsidR="000D347F" w:rsidRPr="00663955" w:rsidRDefault="009F71B9" w:rsidP="000D347F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The exposure draft proposed that market participants </w:t>
      </w:r>
      <w:r w:rsidR="00F602C7">
        <w:rPr>
          <w:rFonts w:ascii="Arial" w:hAnsi="Arial" w:cs="Arial"/>
          <w:sz w:val="24"/>
          <w:szCs w:val="20"/>
        </w:rPr>
        <w:t>should</w:t>
      </w:r>
      <w:r w:rsidRPr="00663955">
        <w:rPr>
          <w:rFonts w:ascii="Arial" w:hAnsi="Arial" w:cs="Arial"/>
          <w:sz w:val="24"/>
          <w:szCs w:val="20"/>
        </w:rPr>
        <w:t xml:space="preserve"> conduct </w:t>
      </w:r>
      <w:r w:rsidR="000B6B14" w:rsidRPr="00663955">
        <w:rPr>
          <w:rFonts w:ascii="Arial" w:hAnsi="Arial" w:cs="Arial"/>
          <w:sz w:val="24"/>
          <w:szCs w:val="20"/>
        </w:rPr>
        <w:t xml:space="preserve">internal </w:t>
      </w:r>
      <w:r w:rsidRPr="00663955">
        <w:rPr>
          <w:rFonts w:ascii="Arial" w:hAnsi="Arial" w:cs="Arial"/>
          <w:sz w:val="24"/>
          <w:szCs w:val="20"/>
        </w:rPr>
        <w:t xml:space="preserve">assessments on compliance with the requirements in </w:t>
      </w:r>
      <w:r w:rsidR="00C12352" w:rsidRPr="00663955">
        <w:rPr>
          <w:rFonts w:ascii="Arial" w:hAnsi="Arial" w:cs="Arial"/>
          <w:sz w:val="24"/>
          <w:szCs w:val="20"/>
        </w:rPr>
        <w:t>the policy document. A few respondents highlighted that this may result in an overlap between the assessment conduct</w:t>
      </w:r>
      <w:r w:rsidR="007F7B2F" w:rsidRPr="00663955">
        <w:rPr>
          <w:rFonts w:ascii="Arial" w:hAnsi="Arial" w:cs="Arial"/>
          <w:sz w:val="24"/>
          <w:szCs w:val="20"/>
        </w:rPr>
        <w:t>ed</w:t>
      </w:r>
      <w:r w:rsidR="00C12352" w:rsidRPr="00663955">
        <w:rPr>
          <w:rFonts w:ascii="Arial" w:hAnsi="Arial" w:cs="Arial"/>
          <w:sz w:val="24"/>
          <w:szCs w:val="20"/>
        </w:rPr>
        <w:t xml:space="preserve"> by compliance and internal audit functions.</w:t>
      </w:r>
    </w:p>
    <w:p w:rsidR="00A621F2" w:rsidRPr="00663955" w:rsidRDefault="00C12352" w:rsidP="00DE3ACA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lastRenderedPageBreak/>
        <w:t xml:space="preserve">The Bank views that </w:t>
      </w:r>
      <w:r w:rsidR="00347131" w:rsidRPr="00663955">
        <w:rPr>
          <w:rFonts w:ascii="Arial" w:hAnsi="Arial" w:cs="Arial"/>
          <w:sz w:val="24"/>
          <w:szCs w:val="20"/>
        </w:rPr>
        <w:t xml:space="preserve">there is no overlap between functions </w:t>
      </w:r>
      <w:r w:rsidRPr="00663955">
        <w:rPr>
          <w:rFonts w:ascii="Arial" w:hAnsi="Arial" w:cs="Arial"/>
          <w:sz w:val="24"/>
          <w:szCs w:val="20"/>
        </w:rPr>
        <w:t xml:space="preserve">performed by compliance and internal audit </w:t>
      </w:r>
      <w:r w:rsidR="00347131" w:rsidRPr="00663955">
        <w:rPr>
          <w:rFonts w:ascii="Arial" w:hAnsi="Arial" w:cs="Arial"/>
          <w:sz w:val="24"/>
          <w:szCs w:val="20"/>
        </w:rPr>
        <w:t xml:space="preserve">and that the requirement on internal audit is to act </w:t>
      </w:r>
      <w:r w:rsidR="00A621F2" w:rsidRPr="00663955">
        <w:rPr>
          <w:rFonts w:ascii="Arial" w:hAnsi="Arial" w:cs="Arial"/>
          <w:sz w:val="24"/>
          <w:szCs w:val="20"/>
        </w:rPr>
        <w:t xml:space="preserve">as </w:t>
      </w:r>
      <w:r w:rsidR="007C311F" w:rsidRPr="00663955">
        <w:rPr>
          <w:rFonts w:ascii="Arial" w:hAnsi="Arial" w:cs="Arial"/>
          <w:sz w:val="24"/>
          <w:szCs w:val="20"/>
        </w:rPr>
        <w:t>additional</w:t>
      </w:r>
      <w:r w:rsidR="00347131" w:rsidRPr="00663955">
        <w:rPr>
          <w:rFonts w:ascii="Arial" w:hAnsi="Arial" w:cs="Arial"/>
          <w:sz w:val="24"/>
          <w:szCs w:val="20"/>
        </w:rPr>
        <w:t xml:space="preserve"> </w:t>
      </w:r>
      <w:r w:rsidR="00A621F2" w:rsidRPr="00663955">
        <w:rPr>
          <w:rFonts w:ascii="Arial" w:hAnsi="Arial" w:cs="Arial"/>
          <w:sz w:val="24"/>
          <w:szCs w:val="20"/>
        </w:rPr>
        <w:t>line of defence</w:t>
      </w:r>
      <w:r w:rsidR="007F7B2F" w:rsidRPr="00663955">
        <w:rPr>
          <w:rFonts w:ascii="Arial" w:hAnsi="Arial" w:cs="Arial"/>
          <w:sz w:val="24"/>
          <w:szCs w:val="20"/>
        </w:rPr>
        <w:t xml:space="preserve">. Paragraph 35.2 of the </w:t>
      </w:r>
      <w:r w:rsidR="00A621F2" w:rsidRPr="00663955">
        <w:rPr>
          <w:rFonts w:ascii="Arial" w:hAnsi="Arial" w:cs="Arial"/>
          <w:sz w:val="24"/>
          <w:szCs w:val="20"/>
        </w:rPr>
        <w:t xml:space="preserve">policy document clarifies that the validation of </w:t>
      </w:r>
      <w:r w:rsidR="00CF4BE3" w:rsidRPr="00663955">
        <w:rPr>
          <w:rFonts w:ascii="Arial" w:hAnsi="Arial" w:cs="Arial"/>
          <w:sz w:val="24"/>
          <w:szCs w:val="20"/>
        </w:rPr>
        <w:t xml:space="preserve">compliance controls </w:t>
      </w:r>
      <w:r w:rsidR="00A621F2" w:rsidRPr="00663955">
        <w:rPr>
          <w:rFonts w:ascii="Arial" w:hAnsi="Arial" w:cs="Arial"/>
          <w:sz w:val="24"/>
          <w:szCs w:val="20"/>
        </w:rPr>
        <w:t>by internal audit should be commensurate with the perceived level of risks as assessed in the internal audit’s evaluation of the adequacy and effectiveness of the compliance function.</w:t>
      </w:r>
    </w:p>
    <w:p w:rsidR="00DE3ACA" w:rsidRPr="00663955" w:rsidRDefault="00DE3ACA" w:rsidP="00DE3ACA">
      <w:pPr>
        <w:pStyle w:val="ListParagraph"/>
        <w:spacing w:before="240" w:after="0" w:line="360" w:lineRule="auto"/>
        <w:ind w:left="709"/>
        <w:contextualSpacing w:val="0"/>
        <w:jc w:val="both"/>
        <w:rPr>
          <w:rFonts w:ascii="Arial" w:hAnsi="Arial" w:cs="Arial"/>
          <w:sz w:val="24"/>
          <w:szCs w:val="20"/>
        </w:rPr>
      </w:pPr>
    </w:p>
    <w:p w:rsidR="000F023D" w:rsidRPr="00663955" w:rsidRDefault="000F023D" w:rsidP="000F023D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0"/>
        </w:rPr>
      </w:pPr>
      <w:r w:rsidRPr="00663955">
        <w:rPr>
          <w:rFonts w:ascii="Arial" w:hAnsi="Arial" w:cs="Arial"/>
          <w:b/>
          <w:sz w:val="24"/>
          <w:szCs w:val="20"/>
        </w:rPr>
        <w:t xml:space="preserve">Internal Audit </w:t>
      </w:r>
    </w:p>
    <w:p w:rsidR="000F023D" w:rsidRPr="00663955" w:rsidRDefault="004D3709" w:rsidP="00FE4329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The exposure draft proposed for market participants to conduct an internal audit yearly to validate the quality and relevance of risk management and compliance controls. </w:t>
      </w:r>
      <w:r w:rsidR="00B8727B" w:rsidRPr="00663955">
        <w:rPr>
          <w:rFonts w:ascii="Arial" w:hAnsi="Arial" w:cs="Arial"/>
          <w:sz w:val="24"/>
          <w:szCs w:val="20"/>
        </w:rPr>
        <w:t xml:space="preserve">A number of respondents sought greater clarity of the Bank’s expectation. </w:t>
      </w:r>
      <w:r w:rsidR="00623726" w:rsidRPr="00663955">
        <w:rPr>
          <w:rFonts w:ascii="Arial" w:hAnsi="Arial" w:cs="Arial"/>
          <w:sz w:val="24"/>
          <w:szCs w:val="20"/>
        </w:rPr>
        <w:t>In addition, some respondents viewed that an annual internal audit</w:t>
      </w:r>
      <w:r w:rsidR="009A5ABD" w:rsidRPr="00663955">
        <w:rPr>
          <w:rFonts w:ascii="Arial" w:hAnsi="Arial" w:cs="Arial"/>
          <w:sz w:val="24"/>
          <w:szCs w:val="20"/>
        </w:rPr>
        <w:t xml:space="preserve"> on risk management and compliance controls</w:t>
      </w:r>
      <w:r w:rsidR="00623726" w:rsidRPr="00663955">
        <w:rPr>
          <w:rFonts w:ascii="Arial" w:hAnsi="Arial" w:cs="Arial"/>
          <w:sz w:val="24"/>
          <w:szCs w:val="20"/>
        </w:rPr>
        <w:t xml:space="preserve"> may</w:t>
      </w:r>
      <w:r w:rsidR="00492307">
        <w:rPr>
          <w:rFonts w:ascii="Arial" w:hAnsi="Arial" w:cs="Arial"/>
          <w:sz w:val="24"/>
          <w:szCs w:val="20"/>
        </w:rPr>
        <w:t xml:space="preserve"> </w:t>
      </w:r>
      <w:r w:rsidR="00623726" w:rsidRPr="00663955">
        <w:rPr>
          <w:rFonts w:ascii="Arial" w:hAnsi="Arial" w:cs="Arial"/>
          <w:sz w:val="24"/>
          <w:szCs w:val="20"/>
        </w:rPr>
        <w:t>be oper</w:t>
      </w:r>
      <w:r w:rsidR="009A5ABD" w:rsidRPr="00663955">
        <w:rPr>
          <w:rFonts w:ascii="Arial" w:hAnsi="Arial" w:cs="Arial"/>
          <w:sz w:val="24"/>
          <w:szCs w:val="20"/>
        </w:rPr>
        <w:t>ationally demanding and institutions</w:t>
      </w:r>
      <w:r w:rsidR="00623726" w:rsidRPr="00663955">
        <w:rPr>
          <w:rFonts w:ascii="Arial" w:hAnsi="Arial" w:cs="Arial"/>
          <w:sz w:val="24"/>
          <w:szCs w:val="20"/>
        </w:rPr>
        <w:t xml:space="preserve"> should retain the discretion in determining the frequency of internal audit.</w:t>
      </w:r>
    </w:p>
    <w:p w:rsidR="00623726" w:rsidRPr="00663955" w:rsidRDefault="007F7B2F" w:rsidP="00FE4329">
      <w:pPr>
        <w:pStyle w:val="ListParagraph"/>
        <w:numPr>
          <w:ilvl w:val="1"/>
          <w:numId w:val="1"/>
        </w:numPr>
        <w:spacing w:before="240" w:after="0" w:line="360" w:lineRule="auto"/>
        <w:ind w:left="709" w:hanging="709"/>
        <w:contextualSpacing w:val="0"/>
        <w:jc w:val="both"/>
        <w:rPr>
          <w:rFonts w:ascii="Arial" w:hAnsi="Arial" w:cs="Arial"/>
          <w:sz w:val="24"/>
          <w:szCs w:val="20"/>
        </w:rPr>
      </w:pPr>
      <w:r w:rsidRPr="00663955">
        <w:rPr>
          <w:rFonts w:ascii="Arial" w:hAnsi="Arial" w:cs="Arial"/>
          <w:sz w:val="24"/>
          <w:szCs w:val="20"/>
        </w:rPr>
        <w:t xml:space="preserve">The </w:t>
      </w:r>
      <w:r w:rsidR="00716206" w:rsidRPr="00663955">
        <w:rPr>
          <w:rFonts w:ascii="Arial" w:hAnsi="Arial" w:cs="Arial"/>
          <w:sz w:val="24"/>
          <w:szCs w:val="20"/>
        </w:rPr>
        <w:t xml:space="preserve">policy </w:t>
      </w:r>
      <w:r w:rsidRPr="00663955">
        <w:rPr>
          <w:rFonts w:ascii="Arial" w:hAnsi="Arial" w:cs="Arial"/>
          <w:sz w:val="24"/>
          <w:szCs w:val="20"/>
        </w:rPr>
        <w:t xml:space="preserve">document </w:t>
      </w:r>
      <w:r w:rsidR="00716206" w:rsidRPr="00663955">
        <w:rPr>
          <w:rFonts w:ascii="Arial" w:hAnsi="Arial" w:cs="Arial"/>
          <w:sz w:val="24"/>
          <w:szCs w:val="20"/>
        </w:rPr>
        <w:t>emph</w:t>
      </w:r>
      <w:r w:rsidR="003F2E9F" w:rsidRPr="00663955">
        <w:rPr>
          <w:rFonts w:ascii="Arial" w:hAnsi="Arial" w:cs="Arial"/>
          <w:sz w:val="24"/>
          <w:szCs w:val="20"/>
        </w:rPr>
        <w:t>asises that the Bank expects</w:t>
      </w:r>
      <w:r w:rsidR="00716206" w:rsidRPr="00663955">
        <w:rPr>
          <w:rFonts w:ascii="Arial" w:hAnsi="Arial" w:cs="Arial"/>
          <w:sz w:val="24"/>
          <w:szCs w:val="20"/>
        </w:rPr>
        <w:t xml:space="preserve"> market participants</w:t>
      </w:r>
      <w:r w:rsidR="000023BF" w:rsidRPr="00663955">
        <w:rPr>
          <w:rFonts w:ascii="Arial" w:hAnsi="Arial" w:cs="Arial"/>
          <w:sz w:val="24"/>
          <w:szCs w:val="20"/>
        </w:rPr>
        <w:t xml:space="preserve"> to </w:t>
      </w:r>
      <w:r w:rsidR="000942CC" w:rsidRPr="00663955">
        <w:rPr>
          <w:rFonts w:ascii="Arial" w:hAnsi="Arial" w:cs="Arial"/>
          <w:sz w:val="24"/>
          <w:szCs w:val="20"/>
        </w:rPr>
        <w:t xml:space="preserve">integrate </w:t>
      </w:r>
      <w:r w:rsidR="000023BF" w:rsidRPr="00663955">
        <w:rPr>
          <w:rFonts w:ascii="Arial" w:hAnsi="Arial" w:cs="Arial"/>
          <w:sz w:val="24"/>
          <w:szCs w:val="20"/>
        </w:rPr>
        <w:t>market conduct risk</w:t>
      </w:r>
      <w:r w:rsidR="000942CC" w:rsidRPr="00663955">
        <w:rPr>
          <w:rFonts w:ascii="Arial" w:hAnsi="Arial" w:cs="Arial"/>
          <w:sz w:val="24"/>
          <w:szCs w:val="20"/>
        </w:rPr>
        <w:t xml:space="preserve"> into their </w:t>
      </w:r>
      <w:r w:rsidR="002A5021" w:rsidRPr="00663955">
        <w:rPr>
          <w:rFonts w:ascii="Arial" w:hAnsi="Arial" w:cs="Arial"/>
          <w:sz w:val="24"/>
          <w:szCs w:val="20"/>
        </w:rPr>
        <w:t>risk based assessment in the audit plan</w:t>
      </w:r>
      <w:r w:rsidR="000942CC" w:rsidRPr="00663955">
        <w:rPr>
          <w:rFonts w:ascii="Arial" w:hAnsi="Arial" w:cs="Arial"/>
          <w:sz w:val="24"/>
          <w:szCs w:val="20"/>
        </w:rPr>
        <w:t>. Subject to the assessment based on respective</w:t>
      </w:r>
      <w:r w:rsidR="000023BF" w:rsidRPr="00663955">
        <w:rPr>
          <w:rFonts w:ascii="Arial" w:hAnsi="Arial" w:cs="Arial"/>
          <w:sz w:val="24"/>
          <w:szCs w:val="20"/>
        </w:rPr>
        <w:t xml:space="preserve"> </w:t>
      </w:r>
      <w:r w:rsidR="000942CC" w:rsidRPr="00663955">
        <w:rPr>
          <w:rFonts w:ascii="Arial" w:hAnsi="Arial" w:cs="Arial"/>
          <w:sz w:val="24"/>
          <w:szCs w:val="20"/>
        </w:rPr>
        <w:t>institutions’ internal audit risk methodology,</w:t>
      </w:r>
      <w:r w:rsidR="00716206" w:rsidRPr="00663955">
        <w:rPr>
          <w:rFonts w:ascii="Arial" w:hAnsi="Arial" w:cs="Arial"/>
          <w:sz w:val="24"/>
          <w:szCs w:val="20"/>
        </w:rPr>
        <w:t xml:space="preserve"> market participants</w:t>
      </w:r>
      <w:r w:rsidR="009A5ABD" w:rsidRPr="00663955">
        <w:rPr>
          <w:rFonts w:ascii="Arial" w:hAnsi="Arial" w:cs="Arial"/>
          <w:sz w:val="24"/>
          <w:szCs w:val="20"/>
        </w:rPr>
        <w:t xml:space="preserve"> </w:t>
      </w:r>
      <w:r w:rsidR="00716206" w:rsidRPr="00663955">
        <w:rPr>
          <w:rFonts w:ascii="Arial" w:hAnsi="Arial" w:cs="Arial"/>
          <w:sz w:val="24"/>
          <w:szCs w:val="20"/>
        </w:rPr>
        <w:t>have the discretion in determining</w:t>
      </w:r>
      <w:r w:rsidR="009A5ABD" w:rsidRPr="00663955">
        <w:rPr>
          <w:rFonts w:ascii="Arial" w:hAnsi="Arial" w:cs="Arial"/>
          <w:sz w:val="24"/>
          <w:szCs w:val="20"/>
        </w:rPr>
        <w:t xml:space="preserve"> the frequency of internal audit on risk management and compliance controls.</w:t>
      </w:r>
    </w:p>
    <w:p w:rsidR="000F023D" w:rsidRPr="000F023D" w:rsidRDefault="000F023D" w:rsidP="000F023D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sectPr w:rsidR="000F023D" w:rsidRPr="000F023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05" w:rsidRDefault="00441E05" w:rsidP="000F49AF">
      <w:pPr>
        <w:spacing w:after="0" w:line="240" w:lineRule="auto"/>
      </w:pPr>
      <w:r>
        <w:separator/>
      </w:r>
    </w:p>
  </w:endnote>
  <w:endnote w:type="continuationSeparator" w:id="0">
    <w:p w:rsidR="00441E05" w:rsidRDefault="00441E05" w:rsidP="000F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AF" w:rsidRPr="000F49AF" w:rsidRDefault="000F49AF">
    <w:pPr>
      <w:pStyle w:val="Footer"/>
      <w:jc w:val="center"/>
      <w:rPr>
        <w:rFonts w:ascii="Arial" w:hAnsi="Arial" w:cs="Arial"/>
      </w:rPr>
    </w:pPr>
    <w:r w:rsidRPr="000F49AF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812250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F49AF">
          <w:rPr>
            <w:rFonts w:ascii="Arial" w:hAnsi="Arial" w:cs="Arial"/>
          </w:rPr>
          <w:fldChar w:fldCharType="begin"/>
        </w:r>
        <w:r w:rsidRPr="000F49AF">
          <w:rPr>
            <w:rFonts w:ascii="Arial" w:hAnsi="Arial" w:cs="Arial"/>
          </w:rPr>
          <w:instrText xml:space="preserve"> PAGE   \* MERGEFORMAT </w:instrText>
        </w:r>
        <w:r w:rsidRPr="000F49AF">
          <w:rPr>
            <w:rFonts w:ascii="Arial" w:hAnsi="Arial" w:cs="Arial"/>
          </w:rPr>
          <w:fldChar w:fldCharType="separate"/>
        </w:r>
        <w:r w:rsidR="00982EED">
          <w:rPr>
            <w:rFonts w:ascii="Arial" w:hAnsi="Arial" w:cs="Arial"/>
            <w:noProof/>
          </w:rPr>
          <w:t>3</w:t>
        </w:r>
        <w:r w:rsidRPr="000F49AF">
          <w:rPr>
            <w:rFonts w:ascii="Arial" w:hAnsi="Arial" w:cs="Arial"/>
            <w:noProof/>
          </w:rPr>
          <w:fldChar w:fldCharType="end"/>
        </w:r>
        <w:r w:rsidR="00B05F6C">
          <w:rPr>
            <w:rFonts w:ascii="Arial" w:hAnsi="Arial" w:cs="Arial"/>
            <w:noProof/>
          </w:rPr>
          <w:t xml:space="preserve"> of </w:t>
        </w:r>
        <w:r w:rsidR="00904E7B">
          <w:rPr>
            <w:rFonts w:ascii="Arial" w:hAnsi="Arial" w:cs="Arial"/>
            <w:noProof/>
          </w:rPr>
          <w:t>4</w:t>
        </w:r>
      </w:sdtContent>
    </w:sdt>
  </w:p>
  <w:p w:rsidR="000F49AF" w:rsidRDefault="000F4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05" w:rsidRDefault="00441E05" w:rsidP="000F49AF">
      <w:pPr>
        <w:spacing w:after="0" w:line="240" w:lineRule="auto"/>
      </w:pPr>
      <w:r>
        <w:separator/>
      </w:r>
    </w:p>
  </w:footnote>
  <w:footnote w:type="continuationSeparator" w:id="0">
    <w:p w:rsidR="00441E05" w:rsidRDefault="00441E05" w:rsidP="000F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478"/>
    <w:multiLevelType w:val="multilevel"/>
    <w:tmpl w:val="B47A4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A50558E"/>
    <w:multiLevelType w:val="hybridMultilevel"/>
    <w:tmpl w:val="D2B06058"/>
    <w:lvl w:ilvl="0" w:tplc="2400A094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09"/>
    <w:rsid w:val="000023BF"/>
    <w:rsid w:val="0000380E"/>
    <w:rsid w:val="00013327"/>
    <w:rsid w:val="00071DFA"/>
    <w:rsid w:val="000752CB"/>
    <w:rsid w:val="00086784"/>
    <w:rsid w:val="00090FC5"/>
    <w:rsid w:val="000942CC"/>
    <w:rsid w:val="000A1908"/>
    <w:rsid w:val="000B6B14"/>
    <w:rsid w:val="000D347F"/>
    <w:rsid w:val="000F023D"/>
    <w:rsid w:val="000F49AF"/>
    <w:rsid w:val="00105957"/>
    <w:rsid w:val="00130363"/>
    <w:rsid w:val="00132BFF"/>
    <w:rsid w:val="001338F4"/>
    <w:rsid w:val="001A5D01"/>
    <w:rsid w:val="00251110"/>
    <w:rsid w:val="00271574"/>
    <w:rsid w:val="002A5021"/>
    <w:rsid w:val="002B2DCF"/>
    <w:rsid w:val="002D1740"/>
    <w:rsid w:val="002D1F09"/>
    <w:rsid w:val="002D63E3"/>
    <w:rsid w:val="002E14C0"/>
    <w:rsid w:val="002E2F38"/>
    <w:rsid w:val="00306668"/>
    <w:rsid w:val="0032348B"/>
    <w:rsid w:val="00333282"/>
    <w:rsid w:val="003339E0"/>
    <w:rsid w:val="00345E95"/>
    <w:rsid w:val="00347131"/>
    <w:rsid w:val="00377AA1"/>
    <w:rsid w:val="00386C43"/>
    <w:rsid w:val="003A1FD5"/>
    <w:rsid w:val="003A5AB5"/>
    <w:rsid w:val="003F2E9F"/>
    <w:rsid w:val="00441E05"/>
    <w:rsid w:val="00466610"/>
    <w:rsid w:val="004702AD"/>
    <w:rsid w:val="00476E91"/>
    <w:rsid w:val="00477450"/>
    <w:rsid w:val="00485768"/>
    <w:rsid w:val="00492307"/>
    <w:rsid w:val="0049527C"/>
    <w:rsid w:val="004C354F"/>
    <w:rsid w:val="004C527B"/>
    <w:rsid w:val="004D3709"/>
    <w:rsid w:val="004D5DCD"/>
    <w:rsid w:val="00526667"/>
    <w:rsid w:val="00533939"/>
    <w:rsid w:val="00533B5F"/>
    <w:rsid w:val="00542682"/>
    <w:rsid w:val="00572C41"/>
    <w:rsid w:val="00577799"/>
    <w:rsid w:val="005B7D9E"/>
    <w:rsid w:val="005C3E45"/>
    <w:rsid w:val="005D5E37"/>
    <w:rsid w:val="005E6D48"/>
    <w:rsid w:val="00615F80"/>
    <w:rsid w:val="00623726"/>
    <w:rsid w:val="006476A1"/>
    <w:rsid w:val="00663955"/>
    <w:rsid w:val="0069247C"/>
    <w:rsid w:val="006E33C6"/>
    <w:rsid w:val="00711AE1"/>
    <w:rsid w:val="00716206"/>
    <w:rsid w:val="00760443"/>
    <w:rsid w:val="00796812"/>
    <w:rsid w:val="007B1F72"/>
    <w:rsid w:val="007C311F"/>
    <w:rsid w:val="007F7B2F"/>
    <w:rsid w:val="00813AB4"/>
    <w:rsid w:val="00841158"/>
    <w:rsid w:val="008605BF"/>
    <w:rsid w:val="0087048D"/>
    <w:rsid w:val="0087584F"/>
    <w:rsid w:val="00886D57"/>
    <w:rsid w:val="008C20E8"/>
    <w:rsid w:val="008C440F"/>
    <w:rsid w:val="008E1701"/>
    <w:rsid w:val="00904E7B"/>
    <w:rsid w:val="0091243D"/>
    <w:rsid w:val="0096431F"/>
    <w:rsid w:val="0098251D"/>
    <w:rsid w:val="00982EED"/>
    <w:rsid w:val="009A15B9"/>
    <w:rsid w:val="009A5ABD"/>
    <w:rsid w:val="009C6961"/>
    <w:rsid w:val="009D01D1"/>
    <w:rsid w:val="009F71B9"/>
    <w:rsid w:val="00A36BE4"/>
    <w:rsid w:val="00A621F2"/>
    <w:rsid w:val="00A809ED"/>
    <w:rsid w:val="00A86E2E"/>
    <w:rsid w:val="00AA765C"/>
    <w:rsid w:val="00AC28BB"/>
    <w:rsid w:val="00B05F6C"/>
    <w:rsid w:val="00B16EB3"/>
    <w:rsid w:val="00B4085E"/>
    <w:rsid w:val="00B61951"/>
    <w:rsid w:val="00B63BF7"/>
    <w:rsid w:val="00B72C7E"/>
    <w:rsid w:val="00B8727B"/>
    <w:rsid w:val="00BA7EB7"/>
    <w:rsid w:val="00BD6F74"/>
    <w:rsid w:val="00BF779A"/>
    <w:rsid w:val="00C12352"/>
    <w:rsid w:val="00C133C4"/>
    <w:rsid w:val="00C47F6A"/>
    <w:rsid w:val="00C57EB8"/>
    <w:rsid w:val="00C75343"/>
    <w:rsid w:val="00CB4178"/>
    <w:rsid w:val="00CC79E7"/>
    <w:rsid w:val="00CD28A2"/>
    <w:rsid w:val="00CE5509"/>
    <w:rsid w:val="00CF4BE3"/>
    <w:rsid w:val="00D011F3"/>
    <w:rsid w:val="00D62584"/>
    <w:rsid w:val="00D84B87"/>
    <w:rsid w:val="00DE369F"/>
    <w:rsid w:val="00DE3ACA"/>
    <w:rsid w:val="00DE710C"/>
    <w:rsid w:val="00E06D6C"/>
    <w:rsid w:val="00E14289"/>
    <w:rsid w:val="00E346A9"/>
    <w:rsid w:val="00E718D5"/>
    <w:rsid w:val="00E81EC4"/>
    <w:rsid w:val="00E9531F"/>
    <w:rsid w:val="00EB2D0C"/>
    <w:rsid w:val="00EB3DC7"/>
    <w:rsid w:val="00F465AF"/>
    <w:rsid w:val="00F52403"/>
    <w:rsid w:val="00F529A4"/>
    <w:rsid w:val="00F602C7"/>
    <w:rsid w:val="00F80CBB"/>
    <w:rsid w:val="00FB0927"/>
    <w:rsid w:val="00FE295B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5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E7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AF"/>
  </w:style>
  <w:style w:type="paragraph" w:styleId="Footer">
    <w:name w:val="footer"/>
    <w:basedOn w:val="Normal"/>
    <w:link w:val="FooterChar"/>
    <w:uiPriority w:val="99"/>
    <w:unhideWhenUsed/>
    <w:rsid w:val="000F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AF"/>
  </w:style>
  <w:style w:type="character" w:styleId="CommentReference">
    <w:name w:val="annotation reference"/>
    <w:basedOn w:val="DefaultParagraphFont"/>
    <w:uiPriority w:val="99"/>
    <w:semiHidden/>
    <w:unhideWhenUsed/>
    <w:rsid w:val="00964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66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5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E7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AF"/>
  </w:style>
  <w:style w:type="paragraph" w:styleId="Footer">
    <w:name w:val="footer"/>
    <w:basedOn w:val="Normal"/>
    <w:link w:val="FooterChar"/>
    <w:uiPriority w:val="99"/>
    <w:unhideWhenUsed/>
    <w:rsid w:val="000F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AF"/>
  </w:style>
  <w:style w:type="character" w:styleId="CommentReference">
    <w:name w:val="annotation reference"/>
    <w:basedOn w:val="DefaultParagraphFont"/>
    <w:uiPriority w:val="99"/>
    <w:semiHidden/>
    <w:unhideWhenUsed/>
    <w:rsid w:val="00964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6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AE45-61EA-48F3-942A-2E19CAC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Negara Malaysia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bklim</dc:creator>
  <cp:lastModifiedBy>ixjayn</cp:lastModifiedBy>
  <cp:revision>3</cp:revision>
  <cp:lastPrinted>2017-04-10T02:12:00Z</cp:lastPrinted>
  <dcterms:created xsi:type="dcterms:W3CDTF">2017-04-11T08:32:00Z</dcterms:created>
  <dcterms:modified xsi:type="dcterms:W3CDTF">2017-04-12T01:48:00Z</dcterms:modified>
</cp:coreProperties>
</file>